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3A" w:rsidRDefault="00763062" w:rsidP="00C00B9F">
      <w:pPr>
        <w:spacing w:after="0" w:line="240" w:lineRule="auto"/>
        <w:jc w:val="center"/>
      </w:pPr>
      <w:bookmarkStart w:id="0" w:name="_GoBack"/>
      <w:bookmarkEnd w:id="0"/>
      <w:r>
        <w:t>The S</w:t>
      </w:r>
      <w:r w:rsidR="003731E8">
        <w:t xml:space="preserve">ixth </w:t>
      </w:r>
      <w:r>
        <w:t>International C</w:t>
      </w:r>
      <w:r w:rsidR="003731E8">
        <w:t>onference on Tainan Studies, 2020</w:t>
      </w:r>
    </w:p>
    <w:p w:rsidR="003731E8" w:rsidRPr="00AC138D" w:rsidRDefault="00763062" w:rsidP="00C00B9F">
      <w:pPr>
        <w:spacing w:after="0" w:line="240" w:lineRule="auto"/>
        <w:jc w:val="center"/>
        <w:rPr>
          <w:b/>
          <w:sz w:val="28"/>
          <w:szCs w:val="28"/>
        </w:rPr>
      </w:pPr>
      <w:r w:rsidRPr="00AC138D">
        <w:rPr>
          <w:b/>
          <w:sz w:val="28"/>
          <w:szCs w:val="28"/>
        </w:rPr>
        <w:t>Art and Material C</w:t>
      </w:r>
      <w:r w:rsidR="003731E8" w:rsidRPr="00AC138D">
        <w:rPr>
          <w:b/>
          <w:sz w:val="28"/>
          <w:szCs w:val="28"/>
        </w:rPr>
        <w:t xml:space="preserve">ulture in </w:t>
      </w:r>
      <w:r w:rsidR="0028560D" w:rsidRPr="00AC138D">
        <w:rPr>
          <w:b/>
          <w:sz w:val="28"/>
          <w:szCs w:val="28"/>
        </w:rPr>
        <w:t xml:space="preserve">the </w:t>
      </w:r>
      <w:r w:rsidR="003731E8" w:rsidRPr="00AC138D">
        <w:rPr>
          <w:b/>
          <w:sz w:val="28"/>
          <w:szCs w:val="28"/>
        </w:rPr>
        <w:t xml:space="preserve">Tainan </w:t>
      </w:r>
      <w:r w:rsidRPr="00AC138D">
        <w:rPr>
          <w:b/>
          <w:sz w:val="28"/>
          <w:szCs w:val="28"/>
        </w:rPr>
        <w:t>A</w:t>
      </w:r>
      <w:r w:rsidR="0028560D" w:rsidRPr="00AC138D">
        <w:rPr>
          <w:b/>
          <w:sz w:val="28"/>
          <w:szCs w:val="28"/>
        </w:rPr>
        <w:t>rea</w:t>
      </w:r>
    </w:p>
    <w:p w:rsidR="00055EEC" w:rsidRDefault="0079523A" w:rsidP="00055EEC">
      <w:pPr>
        <w:spacing w:after="0" w:line="240" w:lineRule="auto"/>
        <w:jc w:val="center"/>
      </w:pPr>
      <w:r>
        <w:rPr>
          <w:rFonts w:hint="eastAsia"/>
        </w:rPr>
        <w:t>(</w:t>
      </w:r>
      <w:r>
        <w:rPr>
          <w:rFonts w:hint="eastAsia"/>
        </w:rPr>
        <w:t>南瀛地區的藝術與物質文化</w:t>
      </w:r>
      <w:r>
        <w:t>)</w:t>
      </w:r>
    </w:p>
    <w:p w:rsidR="00CF413E" w:rsidRPr="006E0C70" w:rsidRDefault="006E0C70" w:rsidP="00CF413E">
      <w:pPr>
        <w:spacing w:after="0" w:line="240" w:lineRule="auto"/>
        <w:jc w:val="center"/>
        <w:rPr>
          <w:b/>
        </w:rPr>
      </w:pPr>
      <w:r w:rsidRPr="00F41AF8">
        <w:rPr>
          <w:b/>
        </w:rPr>
        <w:t>CALL FOR PAPER</w:t>
      </w:r>
    </w:p>
    <w:p w:rsidR="006E0C70" w:rsidRPr="00CF413E" w:rsidRDefault="006E0C70" w:rsidP="00CF413E">
      <w:pPr>
        <w:spacing w:after="0" w:line="240" w:lineRule="auto"/>
        <w:jc w:val="center"/>
      </w:pPr>
    </w:p>
    <w:p w:rsidR="00F94CE9" w:rsidRPr="003F1001" w:rsidRDefault="00EA571F" w:rsidP="00F94CE9">
      <w:r w:rsidRPr="003F1001">
        <w:rPr>
          <w:u w:val="single"/>
        </w:rPr>
        <w:t>Conference topic</w:t>
      </w:r>
      <w:r w:rsidR="00EF7E2E" w:rsidRPr="003F1001">
        <w:t>:</w:t>
      </w:r>
    </w:p>
    <w:p w:rsidR="00911E37" w:rsidRPr="003F1001" w:rsidRDefault="00911E37" w:rsidP="008C1DA5">
      <w:pPr>
        <w:ind w:firstLine="720"/>
        <w:jc w:val="both"/>
      </w:pPr>
      <w:r w:rsidRPr="003F1001">
        <w:t xml:space="preserve">Tainan is spontaneously seen as a place with a rich tangible and intangible cultural heritage. This has its roots in the history of lowland indigenous people and Han immigration, but </w:t>
      </w:r>
      <w:r w:rsidR="00B83487" w:rsidRPr="003F1001">
        <w:t>also results</w:t>
      </w:r>
      <w:r w:rsidR="00A9277E" w:rsidRPr="003F1001">
        <w:t xml:space="preserve"> from </w:t>
      </w:r>
      <w:r w:rsidR="00B341A1" w:rsidRPr="003F1001">
        <w:t>previous</w:t>
      </w:r>
      <w:r w:rsidRPr="003F1001">
        <w:t xml:space="preserve"> trade relations with the</w:t>
      </w:r>
      <w:r w:rsidR="00DA2C8E" w:rsidRPr="003F1001">
        <w:t xml:space="preserve"> outside</w:t>
      </w:r>
      <w:r w:rsidRPr="003F1001">
        <w:t xml:space="preserve"> </w:t>
      </w:r>
      <w:r w:rsidR="0020719F" w:rsidRPr="003F1001">
        <w:t>world and</w:t>
      </w:r>
      <w:r w:rsidRPr="003F1001">
        <w:t xml:space="preserve"> </w:t>
      </w:r>
      <w:r w:rsidR="00AA57E7" w:rsidRPr="003F1001">
        <w:t xml:space="preserve">the </w:t>
      </w:r>
      <w:r w:rsidR="00B83487" w:rsidRPr="003F1001">
        <w:t xml:space="preserve">different functions that </w:t>
      </w:r>
      <w:r w:rsidRPr="003F1001">
        <w:t>successive authorities on the islan</w:t>
      </w:r>
      <w:r w:rsidR="00B341A1" w:rsidRPr="003F1001">
        <w:t xml:space="preserve">d attributed to </w:t>
      </w:r>
      <w:r w:rsidR="00EA571F" w:rsidRPr="003F1001">
        <w:t xml:space="preserve">this </w:t>
      </w:r>
      <w:r w:rsidR="00314B61" w:rsidRPr="003F1001">
        <w:t>locus</w:t>
      </w:r>
      <w:r w:rsidR="00EA571F" w:rsidRPr="003F1001">
        <w:t>. Long-lasting T</w:t>
      </w:r>
      <w:r w:rsidRPr="003F1001">
        <w:t>aiwanese capital of traditional artistic expressions</w:t>
      </w:r>
      <w:r w:rsidR="00A525C7" w:rsidRPr="003F1001">
        <w:t xml:space="preserve"> and know-how</w:t>
      </w:r>
      <w:r w:rsidR="00AA57E7" w:rsidRPr="003F1001">
        <w:t>s</w:t>
      </w:r>
      <w:r w:rsidRPr="003F1001">
        <w:t xml:space="preserve">, Tainan has also become the </w:t>
      </w:r>
      <w:r w:rsidR="00B341A1" w:rsidRPr="003F1001">
        <w:t>chief-place</w:t>
      </w:r>
      <w:r w:rsidRPr="003F1001">
        <w:t xml:space="preserve"> of their pr</w:t>
      </w:r>
      <w:r w:rsidR="00AA57E7" w:rsidRPr="003F1001">
        <w:t xml:space="preserve">eservation and research on </w:t>
      </w:r>
      <w:r w:rsidR="00EA571F" w:rsidRPr="003F1001">
        <w:t>restoration</w:t>
      </w:r>
      <w:r w:rsidRPr="003F1001">
        <w:t xml:space="preserve">, while making them </w:t>
      </w:r>
      <w:r w:rsidR="00FC35A1" w:rsidRPr="003F1001">
        <w:t>resources</w:t>
      </w:r>
      <w:r w:rsidRPr="003F1001">
        <w:t xml:space="preserve"> for the cultural </w:t>
      </w:r>
      <w:r w:rsidR="00444969" w:rsidRPr="003F1001">
        <w:t>promotion</w:t>
      </w:r>
      <w:r w:rsidRPr="003F1001">
        <w:t xml:space="preserve"> of the region.</w:t>
      </w:r>
      <w:r w:rsidR="008411E8" w:rsidRPr="003F1001">
        <w:t xml:space="preserve"> </w:t>
      </w:r>
    </w:p>
    <w:p w:rsidR="00EE668F" w:rsidRPr="003F1001" w:rsidRDefault="00EE668F" w:rsidP="008C1DA5">
      <w:pPr>
        <w:ind w:firstLine="720"/>
        <w:jc w:val="both"/>
      </w:pPr>
      <w:r w:rsidRPr="003F1001">
        <w:t>In addition to the historic</w:t>
      </w:r>
      <w:r w:rsidR="00102B95" w:rsidRPr="003F1001">
        <w:t>al</w:t>
      </w:r>
      <w:r w:rsidRPr="003F1001">
        <w:t xml:space="preserve"> buildings and sites attached to highly contrast</w:t>
      </w:r>
      <w:r w:rsidR="00102B95" w:rsidRPr="003F1001">
        <w:t>ed</w:t>
      </w:r>
      <w:r w:rsidRPr="003F1001">
        <w:t xml:space="preserve"> periods of the past, showing remarkable and varied architectural styles, the city and </w:t>
      </w:r>
      <w:r w:rsidR="00102B95" w:rsidRPr="003F1001">
        <w:t xml:space="preserve">the </w:t>
      </w:r>
      <w:r w:rsidR="00B83487" w:rsidRPr="003F1001">
        <w:t xml:space="preserve">hinterland </w:t>
      </w:r>
      <w:r w:rsidRPr="003F1001">
        <w:t>count</w:t>
      </w:r>
      <w:r w:rsidR="00B83487" w:rsidRPr="003F1001">
        <w:t xml:space="preserve"> </w:t>
      </w:r>
      <w:r w:rsidR="00A525C7" w:rsidRPr="003F1001">
        <w:t>myriads of</w:t>
      </w:r>
      <w:r w:rsidRPr="003F1001">
        <w:t xml:space="preserve"> temples</w:t>
      </w:r>
      <w:r w:rsidR="002300AC" w:rsidRPr="003F1001">
        <w:t xml:space="preserve"> that are the repositories of age-old </w:t>
      </w:r>
      <w:r w:rsidRPr="003F1001">
        <w:t xml:space="preserve">material culture, as well as </w:t>
      </w:r>
      <w:r w:rsidR="00102B95" w:rsidRPr="003F1001">
        <w:t>innumerable</w:t>
      </w:r>
      <w:r w:rsidRPr="003F1001">
        <w:t xml:space="preserve"> religious celebrations that form the crucible of intangible culture; both </w:t>
      </w:r>
      <w:r w:rsidR="00120A82" w:rsidRPr="003F1001">
        <w:t xml:space="preserve">facets </w:t>
      </w:r>
      <w:r w:rsidR="00102B95" w:rsidRPr="003F1001">
        <w:t>constitute the pillars that support</w:t>
      </w:r>
      <w:r w:rsidR="00AA57E7" w:rsidRPr="003F1001">
        <w:t xml:space="preserve"> their transmission </w:t>
      </w:r>
      <w:r w:rsidR="006D28FD" w:rsidRPr="003F1001">
        <w:rPr>
          <w:rFonts w:hint="eastAsia"/>
        </w:rPr>
        <w:t xml:space="preserve">and </w:t>
      </w:r>
      <w:r w:rsidR="006D28FD" w:rsidRPr="003F1001">
        <w:t xml:space="preserve">stimulate </w:t>
      </w:r>
      <w:r w:rsidRPr="003F1001">
        <w:t>a traditional aesthetic with flamboyant aspects, engaging all the senses</w:t>
      </w:r>
      <w:r w:rsidR="00AA57E7" w:rsidRPr="003F1001">
        <w:t>.</w:t>
      </w:r>
    </w:p>
    <w:p w:rsidR="00481E88" w:rsidRPr="003F1001" w:rsidRDefault="00481E88" w:rsidP="008C1DA5">
      <w:pPr>
        <w:ind w:firstLine="720"/>
        <w:jc w:val="both"/>
      </w:pPr>
      <w:r w:rsidRPr="003F1001">
        <w:t>Tainan has also been keen to create a dynamic around new institutions such as Tainan Art Museum</w:t>
      </w:r>
      <w:r w:rsidR="009F6914" w:rsidRPr="003F1001">
        <w:t>s</w:t>
      </w:r>
      <w:r w:rsidRPr="003F1001">
        <w:t xml:space="preserve"> I &amp; II, the redeployed </w:t>
      </w:r>
      <w:proofErr w:type="spellStart"/>
      <w:r w:rsidRPr="003F1001">
        <w:t>Chimei</w:t>
      </w:r>
      <w:proofErr w:type="spellEnd"/>
      <w:r w:rsidRPr="003F1001">
        <w:t xml:space="preserve"> Museum, art galleries, art exhibitions, and to welcome more and more public concerts, dance and theatre performances. </w:t>
      </w:r>
      <w:r w:rsidR="00DD0CBB" w:rsidRPr="003F1001">
        <w:t>A number of performing arts</w:t>
      </w:r>
      <w:r w:rsidR="00425DF5" w:rsidRPr="003F1001">
        <w:t xml:space="preserve"> </w:t>
      </w:r>
      <w:r w:rsidR="00F54F9E" w:rsidRPr="003F1001">
        <w:t>troupes</w:t>
      </w:r>
      <w:r w:rsidRPr="003F1001">
        <w:t xml:space="preserve"> </w:t>
      </w:r>
      <w:r w:rsidR="009910A5" w:rsidRPr="003F1001">
        <w:t>have a sustained local action. Besides, s</w:t>
      </w:r>
      <w:r w:rsidRPr="003F1001">
        <w:t xml:space="preserve">everal cultural parks have established artist residencies where works </w:t>
      </w:r>
      <w:r w:rsidR="00215BD8" w:rsidRPr="003F1001">
        <w:t xml:space="preserve">of art </w:t>
      </w:r>
      <w:r w:rsidRPr="003F1001">
        <w:t>rooted</w:t>
      </w:r>
      <w:r w:rsidR="009F6914" w:rsidRPr="003F1001">
        <w:t xml:space="preserve"> in their environment are born, accomplished</w:t>
      </w:r>
      <w:r w:rsidRPr="003F1001">
        <w:t xml:space="preserve"> by Taiwanese or foreign artists who have come to meet the inhabitants and </w:t>
      </w:r>
      <w:r w:rsidR="00C20A84" w:rsidRPr="003F1001">
        <w:t xml:space="preserve">have </w:t>
      </w:r>
      <w:r w:rsidR="001C5A35" w:rsidRPr="003F1001">
        <w:t>drawn from</w:t>
      </w:r>
      <w:r w:rsidR="00F54F9E" w:rsidRPr="003F1001">
        <w:t xml:space="preserve"> </w:t>
      </w:r>
      <w:r w:rsidRPr="003F1001">
        <w:t>their life stories.</w:t>
      </w:r>
      <w:r w:rsidR="00FC35A1" w:rsidRPr="003F1001">
        <w:t xml:space="preserve"> On the other side, </w:t>
      </w:r>
      <w:r w:rsidR="00066E8C" w:rsidRPr="003F1001">
        <w:t>the inhabitants have always been</w:t>
      </w:r>
      <w:r w:rsidR="00FC35A1" w:rsidRPr="003F1001">
        <w:t xml:space="preserve"> strong</w:t>
      </w:r>
      <w:r w:rsidR="00066E8C" w:rsidRPr="003F1001">
        <w:t>ly attachment</w:t>
      </w:r>
      <w:r w:rsidR="00FC35A1" w:rsidRPr="003F1001">
        <w:t xml:space="preserve"> </w:t>
      </w:r>
      <w:r w:rsidR="00066E8C" w:rsidRPr="003F1001">
        <w:t xml:space="preserve">to their region </w:t>
      </w:r>
      <w:r w:rsidR="00FC35A1" w:rsidRPr="003F1001">
        <w:t xml:space="preserve">and are aware of what it represents for Taiwan's </w:t>
      </w:r>
      <w:r w:rsidR="00066E8C" w:rsidRPr="003F1001">
        <w:t xml:space="preserve">history </w:t>
      </w:r>
      <w:r w:rsidR="00FC35A1" w:rsidRPr="003F1001">
        <w:t>and</w:t>
      </w:r>
      <w:r w:rsidR="00066E8C" w:rsidRPr="003F1001">
        <w:t xml:space="preserve"> culture</w:t>
      </w:r>
      <w:r w:rsidR="00FC35A1" w:rsidRPr="003F1001">
        <w:t>.</w:t>
      </w:r>
    </w:p>
    <w:p w:rsidR="00DE68B9" w:rsidRPr="003F1001" w:rsidRDefault="00DE68B9" w:rsidP="008C1DA5">
      <w:pPr>
        <w:ind w:firstLine="720"/>
        <w:jc w:val="both"/>
      </w:pPr>
      <w:r w:rsidRPr="003F1001">
        <w:t>This leads us to consider cultural an</w:t>
      </w:r>
      <w:r w:rsidR="00F54F9E" w:rsidRPr="003F1001">
        <w:t>d artistic life in the relation</w:t>
      </w:r>
      <w:r w:rsidR="00BF5370" w:rsidRPr="003F1001">
        <w:t xml:space="preserve"> between the center</w:t>
      </w:r>
      <w:r w:rsidRPr="003F1001">
        <w:t xml:space="preserve"> and the periphery (</w:t>
      </w:r>
      <w:r w:rsidR="00BF5370" w:rsidRPr="003F1001">
        <w:t xml:space="preserve">and </w:t>
      </w:r>
      <w:r w:rsidR="00DD313C" w:rsidRPr="003F1001">
        <w:t>t</w:t>
      </w:r>
      <w:r w:rsidR="009617B9" w:rsidRPr="003F1001">
        <w:t>his is all the more interesting because Tainan has</w:t>
      </w:r>
      <w:r w:rsidR="00DF0187" w:rsidRPr="003F1001">
        <w:t xml:space="preserve"> also </w:t>
      </w:r>
      <w:r w:rsidR="009617B9" w:rsidRPr="003F1001">
        <w:t>been</w:t>
      </w:r>
      <w:r w:rsidR="00BF5370" w:rsidRPr="003F1001">
        <w:t xml:space="preserve"> a center</w:t>
      </w:r>
      <w:r w:rsidRPr="003F1001">
        <w:t xml:space="preserve"> in the past), between the north and south of the island and, locally, between th</w:t>
      </w:r>
      <w:r w:rsidR="00DF0187" w:rsidRPr="003F1001">
        <w:t xml:space="preserve">e city and the countryside. And moreover </w:t>
      </w:r>
      <w:r w:rsidRPr="003F1001">
        <w:t xml:space="preserve">to </w:t>
      </w:r>
      <w:r w:rsidR="00953104" w:rsidRPr="003F1001">
        <w:t>tackle the subjects</w:t>
      </w:r>
      <w:r w:rsidRPr="003F1001">
        <w:t xml:space="preserve"> of cultural roots, the affirmation of identity through art, and aesthetics as a capital of distinction.</w:t>
      </w:r>
    </w:p>
    <w:p w:rsidR="005949E9" w:rsidRPr="003F1001" w:rsidRDefault="005949E9" w:rsidP="008C1DA5">
      <w:pPr>
        <w:ind w:firstLine="720"/>
        <w:jc w:val="both"/>
      </w:pPr>
      <w:r w:rsidRPr="003F1001">
        <w:t xml:space="preserve">Aside from encouraging the illustration and analysis of this </w:t>
      </w:r>
      <w:r w:rsidR="001E63E8" w:rsidRPr="003F1001">
        <w:t xml:space="preserve">artistic, </w:t>
      </w:r>
      <w:r w:rsidRPr="003F1001">
        <w:t xml:space="preserve">creative </w:t>
      </w:r>
      <w:r w:rsidR="001E63E8" w:rsidRPr="003F1001">
        <w:t xml:space="preserve">and traditional </w:t>
      </w:r>
      <w:r w:rsidRPr="003F1001">
        <w:t xml:space="preserve">abundance of Tainan, this conference also aims to invite researchers to address a broader theme, concerning </w:t>
      </w:r>
      <w:r w:rsidR="00D561AA" w:rsidRPr="003F1001">
        <w:t>‘</w:t>
      </w:r>
      <w:r w:rsidRPr="003F1001">
        <w:t>art</w:t>
      </w:r>
      <w:r w:rsidR="00D561AA" w:rsidRPr="003F1001">
        <w:t>’</w:t>
      </w:r>
      <w:r w:rsidRPr="003F1001">
        <w:t xml:space="preserve"> in its relationship to </w:t>
      </w:r>
      <w:r w:rsidR="00D561AA" w:rsidRPr="003F1001">
        <w:t>‘</w:t>
      </w:r>
      <w:r w:rsidRPr="003F1001">
        <w:t>place</w:t>
      </w:r>
      <w:r w:rsidR="00D561AA" w:rsidRPr="003F1001">
        <w:t>’</w:t>
      </w:r>
      <w:r w:rsidRPr="003F1001">
        <w:t xml:space="preserve">, based on what we </w:t>
      </w:r>
      <w:r w:rsidR="00215BD8" w:rsidRPr="003F1001">
        <w:t>see</w:t>
      </w:r>
      <w:r w:rsidRPr="003F1001">
        <w:t xml:space="preserve"> in Tainan, or starting from </w:t>
      </w:r>
      <w:proofErr w:type="spellStart"/>
      <w:r w:rsidRPr="003F1001">
        <w:rPr>
          <w:u w:val="single"/>
        </w:rPr>
        <w:t>Tainanese</w:t>
      </w:r>
      <w:proofErr w:type="spellEnd"/>
      <w:r w:rsidRPr="003F1001">
        <w:t xml:space="preserve"> experiences in comparison with </w:t>
      </w:r>
      <w:r w:rsidR="00066E8C" w:rsidRPr="003F1001">
        <w:t xml:space="preserve">those of </w:t>
      </w:r>
      <w:r w:rsidRPr="003F1001">
        <w:t xml:space="preserve">other places, including </w:t>
      </w:r>
      <w:r w:rsidR="00953104" w:rsidRPr="003F1001">
        <w:t>overseas</w:t>
      </w:r>
      <w:r w:rsidRPr="003F1001">
        <w:t xml:space="preserve">. </w:t>
      </w:r>
      <w:r w:rsidR="00215BD8" w:rsidRPr="003F1001">
        <w:t>In this regard</w:t>
      </w:r>
      <w:r w:rsidRPr="003F1001">
        <w:t xml:space="preserve">, the following questions can be asked: </w:t>
      </w:r>
      <w:r w:rsidR="00215BD8" w:rsidRPr="003F1001">
        <w:t xml:space="preserve">What is the relationship that artists and works of art maintain with the spaces they invest? </w:t>
      </w:r>
      <w:r w:rsidRPr="003F1001">
        <w:t xml:space="preserve">How is a territory embodied by artistic expression? Can </w:t>
      </w:r>
      <w:r w:rsidR="00D561AA" w:rsidRPr="003F1001">
        <w:t>a</w:t>
      </w:r>
      <w:r w:rsidRPr="003F1001">
        <w:t xml:space="preserve"> work </w:t>
      </w:r>
      <w:r w:rsidR="00D561AA" w:rsidRPr="003F1001">
        <w:t xml:space="preserve">of art </w:t>
      </w:r>
      <w:r w:rsidRPr="003F1001">
        <w:t>become a "</w:t>
      </w:r>
      <w:r w:rsidR="00215BD8" w:rsidRPr="003F1001">
        <w:t xml:space="preserve">lieu de </w:t>
      </w:r>
      <w:proofErr w:type="spellStart"/>
      <w:r w:rsidR="00215BD8" w:rsidRPr="003F1001">
        <w:t>mémoire</w:t>
      </w:r>
      <w:proofErr w:type="spellEnd"/>
      <w:r w:rsidRPr="003F1001">
        <w:t>"? What makes the sensory, emotional or ideal anchoring in a particular place a unique experience and how is it projected in the field of art?</w:t>
      </w:r>
    </w:p>
    <w:p w:rsidR="004C5FBA" w:rsidRPr="003F1001" w:rsidRDefault="004C5FBA" w:rsidP="004C5F3F">
      <w:r w:rsidRPr="003F1001">
        <w:rPr>
          <w:u w:val="single"/>
        </w:rPr>
        <w:t xml:space="preserve">Content of </w:t>
      </w:r>
      <w:r w:rsidR="004C5F3F" w:rsidRPr="003F1001">
        <w:rPr>
          <w:u w:val="single"/>
        </w:rPr>
        <w:t>presentations</w:t>
      </w:r>
      <w:r w:rsidR="004C5F3F" w:rsidRPr="003F1001">
        <w:t>:</w:t>
      </w:r>
    </w:p>
    <w:p w:rsidR="00635387" w:rsidRPr="003F1001" w:rsidRDefault="004C5F3F" w:rsidP="008C1DA5">
      <w:pPr>
        <w:ind w:firstLine="720"/>
        <w:jc w:val="both"/>
      </w:pPr>
      <w:r w:rsidRPr="003F1001">
        <w:t xml:space="preserve">The presentations </w:t>
      </w:r>
      <w:r w:rsidR="009910A5" w:rsidRPr="003F1001">
        <w:t xml:space="preserve">should </w:t>
      </w:r>
      <w:r w:rsidRPr="003F1001">
        <w:t>be in line with Taiwan studies in the h</w:t>
      </w:r>
      <w:r w:rsidR="00066E8C" w:rsidRPr="003F1001">
        <w:t>umanities and social sciences. A</w:t>
      </w:r>
      <w:r w:rsidRPr="003F1001">
        <w:t>ll periods are concerned. The fields considered are</w:t>
      </w:r>
      <w:r w:rsidR="00D561AA" w:rsidRPr="003F1001">
        <w:t>:</w:t>
      </w:r>
      <w:r w:rsidRPr="003F1001">
        <w:t xml:space="preserve"> visual arts in the broadest sense, including film and architecture, applied art and handicraft, music, performing arts, live performances. Poetry and literature, which alone would deserve a symposium, are not included here.</w:t>
      </w:r>
    </w:p>
    <w:p w:rsidR="00E226AB" w:rsidRPr="00635387" w:rsidRDefault="00635387" w:rsidP="004C5F3F">
      <w:r w:rsidRPr="004C5F3F">
        <w:lastRenderedPageBreak/>
        <w:t>Possible interests and orientations for papers might include:</w:t>
      </w:r>
    </w:p>
    <w:p w:rsidR="00DF3B9A" w:rsidRPr="00D05D9E" w:rsidRDefault="00DF3B9A" w:rsidP="00D561AA">
      <w:pPr>
        <w:pStyle w:val="Paragraphedeliste"/>
        <w:numPr>
          <w:ilvl w:val="0"/>
          <w:numId w:val="2"/>
        </w:numPr>
      </w:pPr>
      <w:r w:rsidRPr="00D05D9E">
        <w:t>Museums, public or private collections, galleries, exhibitions;</w:t>
      </w:r>
    </w:p>
    <w:p w:rsidR="004C5FBA" w:rsidRPr="00D05D9E" w:rsidRDefault="004C5FBA" w:rsidP="00D561AA">
      <w:pPr>
        <w:pStyle w:val="Paragraphedeliste"/>
        <w:numPr>
          <w:ilvl w:val="0"/>
          <w:numId w:val="2"/>
        </w:numPr>
      </w:pPr>
      <w:r w:rsidRPr="00D05D9E">
        <w:t xml:space="preserve">Architecture in the city, </w:t>
      </w:r>
      <w:r w:rsidR="00924A4B" w:rsidRPr="00D05D9E">
        <w:t xml:space="preserve">in the </w:t>
      </w:r>
      <w:r w:rsidRPr="00D05D9E">
        <w:t>countryside, monuments, sites and parks;</w:t>
      </w:r>
    </w:p>
    <w:p w:rsidR="007F0D18" w:rsidRPr="00D05D9E" w:rsidRDefault="007F0D18" w:rsidP="007F0D18">
      <w:pPr>
        <w:pStyle w:val="Paragraphedeliste"/>
        <w:numPr>
          <w:ilvl w:val="0"/>
          <w:numId w:val="2"/>
        </w:numPr>
      </w:pPr>
      <w:r w:rsidRPr="00D05D9E">
        <w:t>Material culture and restoration</w:t>
      </w:r>
      <w:r w:rsidR="00066E8C" w:rsidRPr="00D05D9E">
        <w:t>, know-hows and skills</w:t>
      </w:r>
      <w:r w:rsidRPr="00D05D9E">
        <w:t>;</w:t>
      </w:r>
    </w:p>
    <w:p w:rsidR="007F0D18" w:rsidRPr="00D05D9E" w:rsidRDefault="007F0D18" w:rsidP="007F0D18">
      <w:pPr>
        <w:pStyle w:val="Paragraphedeliste"/>
        <w:numPr>
          <w:ilvl w:val="0"/>
          <w:numId w:val="2"/>
        </w:numPr>
      </w:pPr>
      <w:r w:rsidRPr="00D05D9E">
        <w:t>Music and performing arts: traditional, past, present;</w:t>
      </w:r>
    </w:p>
    <w:p w:rsidR="004C5FBA" w:rsidRPr="00D05D9E" w:rsidRDefault="004C5FBA" w:rsidP="00D561AA">
      <w:pPr>
        <w:pStyle w:val="Paragraphedeliste"/>
        <w:numPr>
          <w:ilvl w:val="0"/>
          <w:numId w:val="2"/>
        </w:numPr>
      </w:pPr>
      <w:r w:rsidRPr="00D05D9E">
        <w:t>Templ</w:t>
      </w:r>
      <w:r w:rsidR="00924A4B" w:rsidRPr="00D05D9E">
        <w:t>es: architecture and decoration</w:t>
      </w:r>
      <w:r w:rsidRPr="00D05D9E">
        <w:t>, votive statuary, objects;</w:t>
      </w:r>
    </w:p>
    <w:p w:rsidR="004C5FBA" w:rsidRPr="00D05D9E" w:rsidRDefault="004C5FBA" w:rsidP="00D561AA">
      <w:pPr>
        <w:pStyle w:val="Paragraphedeliste"/>
        <w:numPr>
          <w:ilvl w:val="0"/>
          <w:numId w:val="2"/>
        </w:numPr>
      </w:pPr>
      <w:r w:rsidRPr="00D05D9E">
        <w:t xml:space="preserve">Aesthetic arrangements of rituals (objects, </w:t>
      </w:r>
      <w:r w:rsidR="003E3C3B" w:rsidRPr="00D05D9E">
        <w:t xml:space="preserve">costumes, </w:t>
      </w:r>
      <w:r w:rsidRPr="00D05D9E">
        <w:t>gestures, voice-music-sounds);</w:t>
      </w:r>
    </w:p>
    <w:p w:rsidR="007F0D18" w:rsidRPr="00D05D9E" w:rsidRDefault="007A57E8" w:rsidP="008C1DA5">
      <w:pPr>
        <w:pStyle w:val="Paragraphedeliste"/>
        <w:numPr>
          <w:ilvl w:val="0"/>
          <w:numId w:val="2"/>
        </w:numPr>
        <w:jc w:val="both"/>
      </w:pPr>
      <w:r w:rsidRPr="00D05D9E">
        <w:t xml:space="preserve">Content, graphic depiction and aesthetics </w:t>
      </w:r>
      <w:r w:rsidR="007F0D18" w:rsidRPr="00D05D9E">
        <w:t>on ancient maps and historical illustrations;</w:t>
      </w:r>
    </w:p>
    <w:p w:rsidR="004C5FBA" w:rsidRPr="00D05D9E" w:rsidRDefault="004C5FBA" w:rsidP="008C1DA5">
      <w:pPr>
        <w:pStyle w:val="Paragraphedeliste"/>
        <w:numPr>
          <w:ilvl w:val="0"/>
          <w:numId w:val="2"/>
        </w:numPr>
        <w:jc w:val="both"/>
      </w:pPr>
      <w:r w:rsidRPr="00D05D9E">
        <w:t>The new place of art in the public space of Tainan (public sculptures, installations, "painted villages", living spaces embellished by local residents</w:t>
      </w:r>
      <w:r w:rsidR="0052581D" w:rsidRPr="00D05D9E">
        <w:t xml:space="preserve">, </w:t>
      </w:r>
      <w:r w:rsidR="007A57E8" w:rsidRPr="00D05D9E">
        <w:t xml:space="preserve">routes performances and outdoor performances, </w:t>
      </w:r>
      <w:r w:rsidR="0052581D" w:rsidRPr="00D05D9E">
        <w:t>etc.);</w:t>
      </w:r>
    </w:p>
    <w:p w:rsidR="004C5FBA" w:rsidRPr="00D05D9E" w:rsidRDefault="004C5FBA" w:rsidP="008C1DA5">
      <w:pPr>
        <w:pStyle w:val="Paragraphedeliste"/>
        <w:numPr>
          <w:ilvl w:val="0"/>
          <w:numId w:val="2"/>
        </w:numPr>
        <w:jc w:val="both"/>
      </w:pPr>
      <w:r w:rsidRPr="00D05D9E">
        <w:t>Tainan's artist residencies: creation, interactions, works</w:t>
      </w:r>
      <w:r w:rsidR="00924A4B" w:rsidRPr="00D05D9E">
        <w:t xml:space="preserve"> of art</w:t>
      </w:r>
      <w:r w:rsidRPr="00D05D9E">
        <w:t>, exhibitions</w:t>
      </w:r>
      <w:r w:rsidR="0052581D" w:rsidRPr="00D05D9E">
        <w:t>;</w:t>
      </w:r>
    </w:p>
    <w:p w:rsidR="004C5FBA" w:rsidRPr="00D05D9E" w:rsidRDefault="004C5FBA" w:rsidP="0052581D">
      <w:pPr>
        <w:pStyle w:val="Paragraphedeliste"/>
        <w:numPr>
          <w:ilvl w:val="0"/>
          <w:numId w:val="2"/>
        </w:numPr>
      </w:pPr>
      <w:r w:rsidRPr="00D05D9E">
        <w:t xml:space="preserve">Tainan's place in </w:t>
      </w:r>
      <w:r w:rsidR="0052581D" w:rsidRPr="00D05D9E">
        <w:t>Taiwan’s</w:t>
      </w:r>
      <w:r w:rsidRPr="00D05D9E">
        <w:t xml:space="preserve"> visual art, art history and art critic</w:t>
      </w:r>
      <w:r w:rsidR="00235DB3" w:rsidRPr="00D05D9E">
        <w:t>ism</w:t>
      </w:r>
      <w:r w:rsidR="0052581D" w:rsidRPr="00D05D9E">
        <w:t xml:space="preserve">; </w:t>
      </w:r>
      <w:r w:rsidRPr="00D05D9E">
        <w:t xml:space="preserve"> </w:t>
      </w:r>
    </w:p>
    <w:p w:rsidR="004C5FBA" w:rsidRPr="004C5FBA" w:rsidRDefault="00235DB3" w:rsidP="0052581D">
      <w:pPr>
        <w:pStyle w:val="Paragraphedeliste"/>
        <w:numPr>
          <w:ilvl w:val="0"/>
          <w:numId w:val="2"/>
        </w:numPr>
      </w:pPr>
      <w:r w:rsidRPr="00D05D9E">
        <w:t>A</w:t>
      </w:r>
      <w:r w:rsidR="004C5FBA" w:rsidRPr="00D05D9E">
        <w:t>rt and identity (local, ethnic, national</w:t>
      </w:r>
      <w:r w:rsidR="004C5FBA" w:rsidRPr="004C5FBA">
        <w:t>)</w:t>
      </w:r>
      <w:r>
        <w:t xml:space="preserve"> from </w:t>
      </w:r>
      <w:r w:rsidRPr="004C5FBA">
        <w:t>Tainan</w:t>
      </w:r>
      <w:r w:rsidR="00DF3B9A">
        <w:t xml:space="preserve">’s </w:t>
      </w:r>
      <w:r w:rsidR="007F0D18">
        <w:t>standpoint</w:t>
      </w:r>
      <w:r>
        <w:t>.</w:t>
      </w:r>
    </w:p>
    <w:p w:rsidR="003F1001" w:rsidRDefault="003F1001">
      <w:pPr>
        <w:rPr>
          <w:u w:val="single"/>
        </w:rPr>
      </w:pPr>
    </w:p>
    <w:p w:rsidR="00944739" w:rsidRPr="000B78EA" w:rsidRDefault="0052581D">
      <w:r w:rsidRPr="000B78EA">
        <w:rPr>
          <w:u w:val="single"/>
        </w:rPr>
        <w:t>Conference information</w:t>
      </w:r>
      <w:r w:rsidRPr="000B78EA">
        <w:t>:</w:t>
      </w:r>
    </w:p>
    <w:p w:rsidR="0043259E" w:rsidRPr="000B78EA" w:rsidRDefault="0043259E" w:rsidP="003F1001">
      <w:pPr>
        <w:ind w:firstLine="720"/>
      </w:pPr>
      <w:r w:rsidRPr="000B78EA">
        <w:t>1. Dates and venue of the conference:</w:t>
      </w:r>
    </w:p>
    <w:p w:rsidR="00F412CA" w:rsidRPr="008C1DA5" w:rsidRDefault="00F412CA" w:rsidP="003923DC">
      <w:r w:rsidRPr="008C1DA5">
        <w:t>Dates</w:t>
      </w:r>
      <w:r w:rsidRPr="008C1DA5">
        <w:rPr>
          <w:rFonts w:hint="eastAsia"/>
        </w:rPr>
        <w:t>:</w:t>
      </w:r>
      <w:r w:rsidRPr="008C1DA5">
        <w:t xml:space="preserve"> </w:t>
      </w:r>
      <w:r w:rsidR="0043259E" w:rsidRPr="008C1DA5">
        <w:t>October 17-18</w:t>
      </w:r>
      <w:r w:rsidR="00D853C8" w:rsidRPr="008C1DA5">
        <w:t>, 2020 (Saturday and Sunday)</w:t>
      </w:r>
    </w:p>
    <w:p w:rsidR="00D1267E" w:rsidRPr="00F41AF8" w:rsidRDefault="00F412CA" w:rsidP="008C1DA5">
      <w:pPr>
        <w:jc w:val="both"/>
      </w:pPr>
      <w:r w:rsidRPr="008C1DA5">
        <w:t>Venue: The National Center for Research &amp; Preservation of Cultural Properties (Ministry of culture, Bureau of Cultural Heritage)</w:t>
      </w:r>
      <w:r w:rsidR="008F5E02" w:rsidRPr="008C1DA5">
        <w:t xml:space="preserve"> B1 International Conference Hall (No. 1-1, </w:t>
      </w:r>
      <w:proofErr w:type="spellStart"/>
      <w:r w:rsidR="008F5E02" w:rsidRPr="008C1DA5">
        <w:t>Zhongzheng</w:t>
      </w:r>
      <w:proofErr w:type="spellEnd"/>
      <w:r w:rsidR="008F5E02" w:rsidRPr="008C1DA5">
        <w:t xml:space="preserve"> Rd., West Central Dist., </w:t>
      </w:r>
      <w:r w:rsidR="008F5E02" w:rsidRPr="00F41AF8">
        <w:t xml:space="preserve">Tainan City 700, Taiwan) </w:t>
      </w:r>
    </w:p>
    <w:p w:rsidR="0043259E" w:rsidRPr="000B78EA" w:rsidRDefault="0043259E" w:rsidP="003F1001">
      <w:pPr>
        <w:ind w:firstLine="720"/>
      </w:pPr>
      <w:r w:rsidRPr="00F41AF8">
        <w:t xml:space="preserve">2. Abstract submission due on </w:t>
      </w:r>
      <w:r w:rsidR="000F3E3D" w:rsidRPr="00F41AF8">
        <w:t>February</w:t>
      </w:r>
      <w:r w:rsidR="008F5E02" w:rsidRPr="00F41AF8">
        <w:t xml:space="preserve"> 2</w:t>
      </w:r>
      <w:r w:rsidR="002878E9" w:rsidRPr="00F41AF8">
        <w:t>3</w:t>
      </w:r>
      <w:r w:rsidRPr="00F41AF8">
        <w:t>, 2020.</w:t>
      </w:r>
    </w:p>
    <w:p w:rsidR="0043259E" w:rsidRPr="000B78EA" w:rsidRDefault="0043259E" w:rsidP="008C1DA5">
      <w:pPr>
        <w:jc w:val="both"/>
      </w:pPr>
      <w:r w:rsidRPr="000B78EA">
        <w:rPr>
          <w:rFonts w:hint="eastAsia"/>
        </w:rPr>
        <w:t xml:space="preserve">Please submit </w:t>
      </w:r>
      <w:r w:rsidR="0052581D" w:rsidRPr="000B78EA">
        <w:rPr>
          <w:rFonts w:hint="eastAsia"/>
        </w:rPr>
        <w:t xml:space="preserve">by the deadline </w:t>
      </w:r>
      <w:r w:rsidRPr="000B78EA">
        <w:rPr>
          <w:rFonts w:hint="eastAsia"/>
        </w:rPr>
        <w:t xml:space="preserve">a tentative </w:t>
      </w:r>
      <w:r w:rsidRPr="000B78EA">
        <w:rPr>
          <w:rFonts w:hint="eastAsia"/>
          <w:u w:val="single"/>
        </w:rPr>
        <w:t>paper title</w:t>
      </w:r>
      <w:r w:rsidRPr="000B78EA">
        <w:rPr>
          <w:rFonts w:hint="eastAsia"/>
        </w:rPr>
        <w:t xml:space="preserve"> and </w:t>
      </w:r>
      <w:r w:rsidR="00794D31" w:rsidRPr="000B78EA">
        <w:rPr>
          <w:rFonts w:hint="eastAsia"/>
        </w:rPr>
        <w:t xml:space="preserve">a 350-word </w:t>
      </w:r>
      <w:r w:rsidR="00794D31" w:rsidRPr="000B78EA">
        <w:rPr>
          <w:rFonts w:hint="eastAsia"/>
          <w:u w:val="single"/>
        </w:rPr>
        <w:t>abstract</w:t>
      </w:r>
      <w:r w:rsidR="00794D31" w:rsidRPr="000B78EA">
        <w:rPr>
          <w:rFonts w:hint="eastAsia"/>
        </w:rPr>
        <w:t xml:space="preserve"> (English)</w:t>
      </w:r>
      <w:r w:rsidR="00794D31" w:rsidRPr="000B78EA">
        <w:t xml:space="preserve"> </w:t>
      </w:r>
      <w:r w:rsidR="00794D31" w:rsidRPr="000B78EA">
        <w:rPr>
          <w:rFonts w:hint="eastAsia"/>
        </w:rPr>
        <w:t xml:space="preserve">or a 500-word </w:t>
      </w:r>
      <w:r w:rsidR="00794D31" w:rsidRPr="00D05D9E">
        <w:rPr>
          <w:rFonts w:hint="eastAsia"/>
          <w:u w:val="single"/>
        </w:rPr>
        <w:t>abstract</w:t>
      </w:r>
      <w:r w:rsidR="00794D31" w:rsidRPr="000B78EA">
        <w:rPr>
          <w:rFonts w:hint="eastAsia"/>
        </w:rPr>
        <w:t xml:space="preserve"> (Chinese) and</w:t>
      </w:r>
      <w:r w:rsidRPr="000B78EA">
        <w:rPr>
          <w:rFonts w:hint="eastAsia"/>
        </w:rPr>
        <w:t xml:space="preserve"> </w:t>
      </w:r>
      <w:r w:rsidRPr="000B78EA">
        <w:rPr>
          <w:rFonts w:hint="eastAsia"/>
          <w:u w:val="single"/>
        </w:rPr>
        <w:t>5 keywords</w:t>
      </w:r>
      <w:r w:rsidRPr="000B78EA">
        <w:rPr>
          <w:rFonts w:hint="eastAsia"/>
        </w:rPr>
        <w:t xml:space="preserve">, as well as a copy of your </w:t>
      </w:r>
      <w:r w:rsidRPr="000B78EA">
        <w:rPr>
          <w:rFonts w:hint="eastAsia"/>
          <w:u w:val="single"/>
        </w:rPr>
        <w:t>curriculum vitae</w:t>
      </w:r>
      <w:r w:rsidRPr="000B78EA">
        <w:rPr>
          <w:rFonts w:hint="eastAsia"/>
        </w:rPr>
        <w:t>.</w:t>
      </w:r>
    </w:p>
    <w:p w:rsidR="00794D31" w:rsidRPr="000B78EA" w:rsidRDefault="00DF5ECE" w:rsidP="005D63B5">
      <w:r w:rsidRPr="000B78EA">
        <w:t>P</w:t>
      </w:r>
      <w:r w:rsidR="00794D31" w:rsidRPr="000B78EA">
        <w:t>roposals will</w:t>
      </w:r>
      <w:r w:rsidR="005D63B5" w:rsidRPr="000B78EA">
        <w:t xml:space="preserve"> be evaluated by the</w:t>
      </w:r>
      <w:r w:rsidR="00794D31" w:rsidRPr="000B78EA">
        <w:t xml:space="preserve"> </w:t>
      </w:r>
      <w:r w:rsidR="00794D31" w:rsidRPr="00282E01">
        <w:t>Conference planning c</w:t>
      </w:r>
      <w:r w:rsidR="005D63B5" w:rsidRPr="00282E01">
        <w:t>ommittee.</w:t>
      </w:r>
      <w:r w:rsidR="00485636" w:rsidRPr="000B78EA">
        <w:t xml:space="preserve"> </w:t>
      </w:r>
    </w:p>
    <w:p w:rsidR="003923DC" w:rsidRPr="000B78EA" w:rsidRDefault="00794D31" w:rsidP="003F1001">
      <w:pPr>
        <w:ind w:firstLine="720"/>
      </w:pPr>
      <w:r w:rsidRPr="000B78EA">
        <w:t xml:space="preserve">3. </w:t>
      </w:r>
      <w:r w:rsidR="005D63B5" w:rsidRPr="000B78EA">
        <w:t xml:space="preserve">For accepted proposals, </w:t>
      </w:r>
      <w:r w:rsidR="005D63B5" w:rsidRPr="000B78EA">
        <w:rPr>
          <w:u w:val="single"/>
        </w:rPr>
        <w:t>full pape</w:t>
      </w:r>
      <w:r w:rsidR="00485636" w:rsidRPr="000B78EA">
        <w:rPr>
          <w:u w:val="single"/>
        </w:rPr>
        <w:t>r</w:t>
      </w:r>
      <w:r w:rsidR="00DF5ECE" w:rsidRPr="000B78EA">
        <w:rPr>
          <w:u w:val="single"/>
        </w:rPr>
        <w:t>s</w:t>
      </w:r>
      <w:r w:rsidR="00485636" w:rsidRPr="000B78EA">
        <w:t xml:space="preserve"> will be due on August 31, 2020</w:t>
      </w:r>
      <w:r w:rsidR="00111469">
        <w:t>.</w:t>
      </w:r>
    </w:p>
    <w:p w:rsidR="00DF5ECE" w:rsidRPr="000B78EA" w:rsidRDefault="00DF5ECE" w:rsidP="003F1001">
      <w:pPr>
        <w:ind w:firstLine="720"/>
      </w:pPr>
      <w:r w:rsidRPr="000B78EA">
        <w:t>4. Languages of the conference and financial support:</w:t>
      </w:r>
    </w:p>
    <w:p w:rsidR="00DF5ECE" w:rsidRPr="000B78EA" w:rsidRDefault="00DF5ECE" w:rsidP="008C1DA5">
      <w:pPr>
        <w:jc w:val="both"/>
      </w:pPr>
      <w:r w:rsidRPr="000B78EA">
        <w:t xml:space="preserve">* </w:t>
      </w:r>
      <w:r w:rsidRPr="000B78EA">
        <w:rPr>
          <w:rFonts w:hint="eastAsia"/>
        </w:rPr>
        <w:t>The abstract and paper can be written in either English or Chinese. The languages of the conference will be Chinese and English.</w:t>
      </w:r>
    </w:p>
    <w:p w:rsidR="003F1001" w:rsidRPr="000B78EA" w:rsidRDefault="00DF5ECE" w:rsidP="008C1DA5">
      <w:pPr>
        <w:jc w:val="both"/>
      </w:pPr>
      <w:r w:rsidRPr="000B78EA">
        <w:t>* T</w:t>
      </w:r>
      <w:r w:rsidR="00794D31" w:rsidRPr="000B78EA">
        <w:t>ravel costs and living expenses during the conference will be covered by the organizers</w:t>
      </w:r>
      <w:r w:rsidR="00111469">
        <w:t>.</w:t>
      </w:r>
    </w:p>
    <w:p w:rsidR="00DF5ECE" w:rsidRPr="000B78EA" w:rsidRDefault="0052581D" w:rsidP="003F1001">
      <w:pPr>
        <w:spacing w:after="0" w:line="240" w:lineRule="auto"/>
      </w:pPr>
      <w:r w:rsidRPr="000B78EA">
        <w:rPr>
          <w:u w:val="single"/>
        </w:rPr>
        <w:t>Contact</w:t>
      </w:r>
      <w:r w:rsidRPr="000B78EA">
        <w:t>:</w:t>
      </w:r>
    </w:p>
    <w:p w:rsidR="00DF5ECE" w:rsidRPr="000B78EA" w:rsidRDefault="0052581D" w:rsidP="003F1001">
      <w:pPr>
        <w:spacing w:after="0" w:line="240" w:lineRule="auto"/>
      </w:pPr>
      <w:r w:rsidRPr="000B78EA">
        <w:t>Please</w:t>
      </w:r>
      <w:r w:rsidR="0016127D" w:rsidRPr="000B78EA">
        <w:t>,</w:t>
      </w:r>
      <w:r w:rsidRPr="000B78EA">
        <w:t xml:space="preserve"> send </w:t>
      </w:r>
      <w:r w:rsidR="0016127D" w:rsidRPr="000B78EA">
        <w:t xml:space="preserve">your </w:t>
      </w:r>
      <w:r w:rsidRPr="003E25BD">
        <w:t>submission</w:t>
      </w:r>
      <w:r w:rsidR="00DF5ECE" w:rsidRPr="003E25BD">
        <w:t xml:space="preserve"> </w:t>
      </w:r>
      <w:r w:rsidR="00497B84" w:rsidRPr="003E25BD">
        <w:t xml:space="preserve">and questions </w:t>
      </w:r>
      <w:r w:rsidRPr="003E25BD">
        <w:t>to</w:t>
      </w:r>
      <w:r w:rsidR="0059484E" w:rsidRPr="003E25BD">
        <w:t>:</w:t>
      </w:r>
    </w:p>
    <w:p w:rsidR="0052581D" w:rsidRPr="000B78EA" w:rsidRDefault="0052581D" w:rsidP="000B78EA">
      <w:pPr>
        <w:spacing w:after="0" w:line="240" w:lineRule="auto"/>
      </w:pPr>
      <w:r w:rsidRPr="000B78EA">
        <w:t>WEN Sheng-</w:t>
      </w:r>
      <w:proofErr w:type="spellStart"/>
      <w:r w:rsidRPr="000B78EA">
        <w:t>Chih</w:t>
      </w:r>
      <w:proofErr w:type="spellEnd"/>
      <w:r w:rsidRPr="000B78EA">
        <w:t xml:space="preserve"> </w:t>
      </w:r>
      <w:r w:rsidRPr="006E0C70">
        <w:rPr>
          <w:rFonts w:hint="eastAsia"/>
        </w:rPr>
        <w:t>溫勝智</w:t>
      </w:r>
      <w:r w:rsidR="0016127D" w:rsidRPr="006E0C70">
        <w:rPr>
          <w:rFonts w:hint="eastAsia"/>
        </w:rPr>
        <w:t xml:space="preserve"> </w:t>
      </w:r>
      <w:r w:rsidR="0016127D" w:rsidRPr="006E0C70">
        <w:t>(</w:t>
      </w:r>
      <w:r w:rsidR="008F1CBC" w:rsidRPr="006E0C70">
        <w:rPr>
          <w:rFonts w:eastAsia="DFKai-SB" w:hint="eastAsia"/>
        </w:rPr>
        <w:t>ICTAHR</w:t>
      </w:r>
      <w:r w:rsidR="0016127D" w:rsidRPr="006E0C70">
        <w:t>’s scientific</w:t>
      </w:r>
      <w:r w:rsidR="0016127D" w:rsidRPr="000B78EA">
        <w:t xml:space="preserve"> assistant)</w:t>
      </w:r>
    </w:p>
    <w:p w:rsidR="0016127D" w:rsidRPr="000B78EA" w:rsidRDefault="0016127D" w:rsidP="000B78EA">
      <w:pPr>
        <w:spacing w:after="0" w:line="240" w:lineRule="auto"/>
      </w:pPr>
      <w:r w:rsidRPr="000B78EA">
        <w:t xml:space="preserve">E-mail: </w:t>
      </w:r>
      <w:hyperlink r:id="rId5" w:history="1">
        <w:r w:rsidRPr="000B78EA">
          <w:rPr>
            <w:rStyle w:val="Lienhypertexte"/>
          </w:rPr>
          <w:t>ic.tahr@gmail.com</w:t>
        </w:r>
      </w:hyperlink>
      <w:r w:rsidRPr="000B78EA">
        <w:t xml:space="preserve">                       Tel: 886 (0)6</w:t>
      </w:r>
      <w:r w:rsidR="007D16DA">
        <w:t> </w:t>
      </w:r>
      <w:r w:rsidRPr="000B78EA">
        <w:t xml:space="preserve">7212338 </w:t>
      </w:r>
      <w:r w:rsidR="003F1001">
        <w:t xml:space="preserve">  </w:t>
      </w:r>
      <w:r w:rsidRPr="000B78EA">
        <w:t>or</w:t>
      </w:r>
      <w:r w:rsidR="003F1001">
        <w:t xml:space="preserve">  </w:t>
      </w:r>
      <w:r w:rsidRPr="000B78EA">
        <w:t xml:space="preserve"> 886 (0)6 6324453</w:t>
      </w:r>
    </w:p>
    <w:p w:rsidR="0016127D" w:rsidRPr="000B78EA" w:rsidRDefault="0052581D" w:rsidP="000B78EA">
      <w:pPr>
        <w:spacing w:after="0" w:line="240" w:lineRule="auto"/>
      </w:pPr>
      <w:r w:rsidRPr="000B78EA">
        <w:t>No 245, Liu-</w:t>
      </w:r>
      <w:proofErr w:type="gramStart"/>
      <w:r w:rsidRPr="000B78EA">
        <w:t>an</w:t>
      </w:r>
      <w:proofErr w:type="gramEnd"/>
      <w:r w:rsidRPr="000B78EA">
        <w:t xml:space="preserve"> Village, </w:t>
      </w:r>
      <w:proofErr w:type="spellStart"/>
      <w:r w:rsidRPr="000B78EA">
        <w:t>Jiali</w:t>
      </w:r>
      <w:proofErr w:type="spellEnd"/>
      <w:r w:rsidRPr="000B78EA">
        <w:t xml:space="preserve"> District, Tainan City, 72242, Taiwan.</w:t>
      </w:r>
    </w:p>
    <w:p w:rsidR="000B78EA" w:rsidRDefault="000B78EA" w:rsidP="0052581D">
      <w:pPr>
        <w:rPr>
          <w:sz w:val="20"/>
          <w:szCs w:val="20"/>
          <w:u w:val="single"/>
        </w:rPr>
      </w:pPr>
    </w:p>
    <w:p w:rsidR="0016127D" w:rsidRPr="00F41AF8" w:rsidRDefault="003F1001" w:rsidP="00F41AF8">
      <w:r w:rsidRPr="003F1001">
        <w:rPr>
          <w:u w:val="single"/>
        </w:rPr>
        <w:t>Organization</w:t>
      </w:r>
      <w:r w:rsidRPr="003F1001">
        <w:t xml:space="preserve">: </w:t>
      </w:r>
    </w:p>
    <w:p w:rsidR="002531A2" w:rsidRDefault="008F1CBC" w:rsidP="003F1001">
      <w:pPr>
        <w:spacing w:after="0"/>
        <w:jc w:val="both"/>
        <w:rPr>
          <w:rFonts w:eastAsia="DFKai-SB"/>
        </w:rPr>
      </w:pPr>
      <w:r w:rsidRPr="003F1001">
        <w:rPr>
          <w:b/>
          <w:i/>
          <w:color w:val="000000" w:themeColor="text1"/>
          <w:shd w:val="clear" w:color="auto" w:fill="FFFFFF"/>
        </w:rPr>
        <w:t>Organizer</w:t>
      </w:r>
      <w:r w:rsidR="00F41AF8">
        <w:rPr>
          <w:b/>
          <w:i/>
          <w:color w:val="000000" w:themeColor="text1"/>
          <w:shd w:val="clear" w:color="auto" w:fill="FFFFFF"/>
        </w:rPr>
        <w:t>s</w:t>
      </w:r>
      <w:r w:rsidR="002531A2" w:rsidRPr="008C1DA5">
        <w:rPr>
          <w:color w:val="555555"/>
          <w:shd w:val="clear" w:color="auto" w:fill="FFFFFF"/>
        </w:rPr>
        <w:t xml:space="preserve">: </w:t>
      </w:r>
      <w:r w:rsidR="002531A2" w:rsidRPr="008C1DA5">
        <w:rPr>
          <w:rFonts w:eastAsia="DFKai-SB" w:hint="eastAsia"/>
        </w:rPr>
        <w:t>The International Center for Tainan Area Humanities and Social Sciences Research (ICTAHR)</w:t>
      </w:r>
      <w:r w:rsidR="00F41AF8">
        <w:rPr>
          <w:rFonts w:eastAsia="DFKai-SB"/>
        </w:rPr>
        <w:t xml:space="preserve"> &amp;</w:t>
      </w:r>
    </w:p>
    <w:p w:rsidR="00F41AF8" w:rsidRPr="00F41AF8" w:rsidRDefault="00F41AF8" w:rsidP="00F41AF8">
      <w:pPr>
        <w:spacing w:after="0"/>
        <w:rPr>
          <w:rFonts w:eastAsia="DFKai-SB"/>
          <w:color w:val="000000"/>
        </w:rPr>
      </w:pPr>
      <w:r w:rsidRPr="008C1DA5">
        <w:rPr>
          <w:rFonts w:eastAsia="DFKai-SB"/>
          <w:color w:val="000000"/>
        </w:rPr>
        <w:lastRenderedPageBreak/>
        <w:t xml:space="preserve">The </w:t>
      </w:r>
      <w:r w:rsidRPr="008C1DA5">
        <w:rPr>
          <w:rFonts w:eastAsia="DFKai-SB" w:hint="eastAsia"/>
          <w:color w:val="000000"/>
        </w:rPr>
        <w:t>Cultural Affairs Bureau of Tainan City Government</w:t>
      </w:r>
    </w:p>
    <w:p w:rsidR="000B78EA" w:rsidRPr="003F1001" w:rsidRDefault="00F71F08" w:rsidP="003F1001">
      <w:pPr>
        <w:spacing w:after="0" w:line="240" w:lineRule="auto"/>
        <w:jc w:val="both"/>
        <w:rPr>
          <w:rFonts w:eastAsia="DFKai-SB"/>
          <w:u w:val="single"/>
        </w:rPr>
      </w:pPr>
      <w:r w:rsidRPr="00F41AF8">
        <w:rPr>
          <w:b/>
          <w:i/>
        </w:rPr>
        <w:t>Co-organizer</w:t>
      </w:r>
      <w:r w:rsidR="002531A2" w:rsidRPr="00F41AF8">
        <w:t xml:space="preserve">: </w:t>
      </w:r>
      <w:r w:rsidR="006E0C70" w:rsidRPr="00F41AF8">
        <w:rPr>
          <w:rFonts w:cs="Arial"/>
          <w:lang w:val="en"/>
        </w:rPr>
        <w:t>Bureau of Cultural Heritage of the Ministry of Culture</w:t>
      </w:r>
      <w:r w:rsidR="006E0C70" w:rsidRPr="00F41AF8">
        <w:t xml:space="preserve"> (</w:t>
      </w:r>
      <w:r w:rsidR="002531A2" w:rsidRPr="00F41AF8">
        <w:rPr>
          <w:rFonts w:eastAsia="Times New Roman" w:cs="Arial"/>
          <w:lang w:val="en"/>
        </w:rPr>
        <w:t xml:space="preserve">The National Center for Research </w:t>
      </w:r>
      <w:r w:rsidR="0076426B" w:rsidRPr="00F41AF8">
        <w:rPr>
          <w:rFonts w:eastAsia="Times New Roman" w:cs="Arial"/>
          <w:lang w:val="en"/>
        </w:rPr>
        <w:t>and</w:t>
      </w:r>
      <w:r w:rsidR="002531A2" w:rsidRPr="00F41AF8">
        <w:rPr>
          <w:rFonts w:eastAsia="Times New Roman" w:cs="Arial"/>
          <w:lang w:val="en"/>
        </w:rPr>
        <w:t xml:space="preserve"> Preservation</w:t>
      </w:r>
      <w:r w:rsidR="002531A2" w:rsidRPr="003F1001">
        <w:rPr>
          <w:rFonts w:eastAsia="Times New Roman" w:cs="Arial"/>
          <w:lang w:val="en"/>
        </w:rPr>
        <w:t xml:space="preserve"> of Cultural Properties</w:t>
      </w:r>
      <w:r w:rsidR="006E0C70">
        <w:rPr>
          <w:rFonts w:eastAsia="Times New Roman" w:cs="Arial"/>
          <w:lang w:val="en"/>
        </w:rPr>
        <w:t>)</w:t>
      </w:r>
    </w:p>
    <w:p w:rsidR="008F1CBC" w:rsidRPr="006E0C70" w:rsidRDefault="00F71F08" w:rsidP="003F1001">
      <w:pPr>
        <w:spacing w:after="0" w:line="240" w:lineRule="auto"/>
        <w:jc w:val="both"/>
      </w:pPr>
      <w:r w:rsidRPr="006E0C70">
        <w:rPr>
          <w:b/>
          <w:i/>
        </w:rPr>
        <w:t>Joint organizer</w:t>
      </w:r>
      <w:r w:rsidR="00D217F4" w:rsidRPr="006E0C70">
        <w:rPr>
          <w:b/>
          <w:i/>
        </w:rPr>
        <w:t>s</w:t>
      </w:r>
      <w:r w:rsidR="002531A2" w:rsidRPr="006E0C70">
        <w:t>: College</w:t>
      </w:r>
      <w:r w:rsidR="008F1CBC" w:rsidRPr="006E0C70">
        <w:t xml:space="preserve"> of Liberal Arts (Nat</w:t>
      </w:r>
      <w:r w:rsidR="00E42903" w:rsidRPr="006E0C70">
        <w:t>ional Chen K</w:t>
      </w:r>
      <w:r w:rsidR="008F1CBC" w:rsidRPr="006E0C70">
        <w:t>ung University</w:t>
      </w:r>
      <w:r w:rsidR="008221AF" w:rsidRPr="006E0C70">
        <w:t>) &amp;</w:t>
      </w:r>
    </w:p>
    <w:p w:rsidR="00497B84" w:rsidRDefault="008221AF" w:rsidP="00DE466E">
      <w:pPr>
        <w:spacing w:after="0" w:line="240" w:lineRule="auto"/>
        <w:jc w:val="both"/>
      </w:pPr>
      <w:r w:rsidRPr="006E0C70">
        <w:t>Department of Art History</w:t>
      </w:r>
      <w:r w:rsidR="008F1CBC" w:rsidRPr="006E0C70">
        <w:t xml:space="preserve"> (Tainan National University of the Arts)</w:t>
      </w:r>
      <w:r w:rsidR="00BD5597" w:rsidRPr="006E0C70">
        <w:t>.</w:t>
      </w:r>
    </w:p>
    <w:p w:rsidR="00DE466E" w:rsidRPr="00DE466E" w:rsidRDefault="00DE466E" w:rsidP="00DE466E">
      <w:pPr>
        <w:spacing w:after="0" w:line="240" w:lineRule="auto"/>
        <w:jc w:val="both"/>
      </w:pPr>
    </w:p>
    <w:p w:rsidR="00B1141A" w:rsidRPr="003F1001" w:rsidRDefault="00BD5597" w:rsidP="003F1001">
      <w:pPr>
        <w:spacing w:after="0"/>
        <w:rPr>
          <w:lang w:val="fr-FR"/>
        </w:rPr>
      </w:pPr>
      <w:proofErr w:type="spellStart"/>
      <w:r w:rsidRPr="003F1001">
        <w:rPr>
          <w:b/>
          <w:i/>
          <w:lang w:val="fr-FR"/>
        </w:rPr>
        <w:t>C</w:t>
      </w:r>
      <w:r w:rsidR="00B1141A" w:rsidRPr="003F1001">
        <w:rPr>
          <w:b/>
          <w:i/>
          <w:lang w:val="fr-FR"/>
        </w:rPr>
        <w:t>onference</w:t>
      </w:r>
      <w:proofErr w:type="spellEnd"/>
      <w:r w:rsidR="00B1141A" w:rsidRPr="003F1001">
        <w:rPr>
          <w:b/>
          <w:i/>
          <w:lang w:val="fr-FR"/>
        </w:rPr>
        <w:t xml:space="preserve"> </w:t>
      </w:r>
      <w:proofErr w:type="spellStart"/>
      <w:r w:rsidR="00B1141A" w:rsidRPr="003F1001">
        <w:rPr>
          <w:b/>
          <w:i/>
          <w:lang w:val="fr-FR"/>
        </w:rPr>
        <w:t>coordinators</w:t>
      </w:r>
      <w:proofErr w:type="spellEnd"/>
      <w:r w:rsidR="00B1141A" w:rsidRPr="003F1001">
        <w:rPr>
          <w:lang w:val="fr-FR"/>
        </w:rPr>
        <w:t>:</w:t>
      </w:r>
    </w:p>
    <w:p w:rsidR="00282E01" w:rsidRPr="00662679" w:rsidRDefault="00111469" w:rsidP="003F1001">
      <w:pPr>
        <w:spacing w:after="0" w:line="240" w:lineRule="auto"/>
        <w:rPr>
          <w:lang w:val="fr-FR"/>
        </w:rPr>
      </w:pPr>
      <w:r w:rsidRPr="00662679">
        <w:rPr>
          <w:lang w:val="fr-FR"/>
        </w:rPr>
        <w:t>*</w:t>
      </w:r>
      <w:r w:rsidR="007F0D18" w:rsidRPr="00662679">
        <w:rPr>
          <w:lang w:val="fr-FR"/>
        </w:rPr>
        <w:t xml:space="preserve"> </w:t>
      </w:r>
      <w:proofErr w:type="spellStart"/>
      <w:r w:rsidR="00282E01" w:rsidRPr="00662679">
        <w:rPr>
          <w:lang w:val="fr-FR"/>
        </w:rPr>
        <w:t>Fiorella</w:t>
      </w:r>
      <w:proofErr w:type="spellEnd"/>
      <w:r w:rsidR="00282E01" w:rsidRPr="00662679">
        <w:rPr>
          <w:lang w:val="fr-FR"/>
        </w:rPr>
        <w:t xml:space="preserve"> </w:t>
      </w:r>
      <w:proofErr w:type="spellStart"/>
      <w:r w:rsidR="00282E01" w:rsidRPr="00662679">
        <w:rPr>
          <w:lang w:val="fr-FR"/>
        </w:rPr>
        <w:t>Allio</w:t>
      </w:r>
      <w:proofErr w:type="spellEnd"/>
      <w:r w:rsidR="00762E8B" w:rsidRPr="00662679">
        <w:rPr>
          <w:lang w:val="fr-FR"/>
        </w:rPr>
        <w:t xml:space="preserve"> </w:t>
      </w:r>
      <w:r w:rsidR="00662679" w:rsidRPr="00662679">
        <w:rPr>
          <w:lang w:val="fr-FR"/>
        </w:rPr>
        <w:t>(</w:t>
      </w:r>
      <w:r w:rsidR="00662679" w:rsidRPr="00662679">
        <w:rPr>
          <w:rFonts w:ascii="SimSun" w:eastAsia="SimSun" w:hAnsi="SimSun" w:hint="eastAsia"/>
        </w:rPr>
        <w:t>艾茉莉</w:t>
      </w:r>
      <w:r w:rsidR="00662679" w:rsidRPr="00662679">
        <w:rPr>
          <w:lang w:val="fr-FR"/>
        </w:rPr>
        <w:t xml:space="preserve">) </w:t>
      </w:r>
      <w:r w:rsidR="00762E8B" w:rsidRPr="00662679">
        <w:rPr>
          <w:lang w:val="fr-FR"/>
        </w:rPr>
        <w:t>(</w:t>
      </w:r>
      <w:r w:rsidR="00662679">
        <w:rPr>
          <w:lang w:val="fr-FR"/>
        </w:rPr>
        <w:t>CNRS</w:t>
      </w:r>
      <w:r w:rsidR="00762E8B" w:rsidRPr="00662679">
        <w:rPr>
          <w:lang w:val="fr-FR"/>
        </w:rPr>
        <w:t>, France / ICTAHR, Tain</w:t>
      </w:r>
      <w:r w:rsidR="00282E01" w:rsidRPr="00662679">
        <w:rPr>
          <w:lang w:val="fr-FR"/>
        </w:rPr>
        <w:t>an)</w:t>
      </w:r>
    </w:p>
    <w:p w:rsidR="00282E01" w:rsidRPr="00662679" w:rsidRDefault="00111469" w:rsidP="003F1001">
      <w:pPr>
        <w:spacing w:after="0" w:line="240" w:lineRule="auto"/>
        <w:rPr>
          <w:lang w:val="fr-FR"/>
        </w:rPr>
      </w:pPr>
      <w:r w:rsidRPr="00662679">
        <w:rPr>
          <w:lang w:val="fr-FR"/>
        </w:rPr>
        <w:t>*</w:t>
      </w:r>
      <w:r w:rsidR="007F0D18" w:rsidRPr="00662679">
        <w:rPr>
          <w:lang w:val="fr-FR"/>
        </w:rPr>
        <w:t xml:space="preserve"> </w:t>
      </w:r>
      <w:r w:rsidR="00F41AF8">
        <w:rPr>
          <w:lang w:val="fr-FR"/>
        </w:rPr>
        <w:t xml:space="preserve">Yen </w:t>
      </w:r>
      <w:proofErr w:type="spellStart"/>
      <w:r w:rsidR="00F41AF8">
        <w:rPr>
          <w:lang w:val="fr-FR"/>
        </w:rPr>
        <w:t>Ting</w:t>
      </w:r>
      <w:r w:rsidR="00282E01" w:rsidRPr="00662679">
        <w:rPr>
          <w:lang w:val="fr-FR"/>
        </w:rPr>
        <w:t>-yu</w:t>
      </w:r>
      <w:proofErr w:type="spellEnd"/>
      <w:r w:rsidR="00282E01" w:rsidRPr="00662679">
        <w:rPr>
          <w:lang w:val="fr-FR"/>
        </w:rPr>
        <w:t xml:space="preserve"> (</w:t>
      </w:r>
      <w:r w:rsidR="00762E8B" w:rsidRPr="00662679">
        <w:rPr>
          <w:lang w:val="fr-FR"/>
        </w:rPr>
        <w:t>ICTAHR, Tain</w:t>
      </w:r>
      <w:r w:rsidR="00282E01" w:rsidRPr="00662679">
        <w:rPr>
          <w:lang w:val="fr-FR"/>
        </w:rPr>
        <w:t>an)</w:t>
      </w:r>
    </w:p>
    <w:sectPr w:rsidR="00282E01" w:rsidRPr="00662679" w:rsidSect="0089108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19D"/>
    <w:multiLevelType w:val="hybridMultilevel"/>
    <w:tmpl w:val="B0786BD4"/>
    <w:lvl w:ilvl="0" w:tplc="DABCDBD8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A322A"/>
    <w:multiLevelType w:val="hybridMultilevel"/>
    <w:tmpl w:val="F91A0F3C"/>
    <w:lvl w:ilvl="0" w:tplc="54DC17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C"/>
    <w:rsid w:val="0004469C"/>
    <w:rsid w:val="0004491D"/>
    <w:rsid w:val="00055EEC"/>
    <w:rsid w:val="00065AA9"/>
    <w:rsid w:val="00066E8C"/>
    <w:rsid w:val="00087FBA"/>
    <w:rsid w:val="000B5452"/>
    <w:rsid w:val="000B78EA"/>
    <w:rsid w:val="000E5D4E"/>
    <w:rsid w:val="000F3E3D"/>
    <w:rsid w:val="00101434"/>
    <w:rsid w:val="00102B95"/>
    <w:rsid w:val="00111469"/>
    <w:rsid w:val="00115943"/>
    <w:rsid w:val="00120A82"/>
    <w:rsid w:val="00130A3F"/>
    <w:rsid w:val="00137D8F"/>
    <w:rsid w:val="0016127D"/>
    <w:rsid w:val="00170BD6"/>
    <w:rsid w:val="00184136"/>
    <w:rsid w:val="00185387"/>
    <w:rsid w:val="001B2114"/>
    <w:rsid w:val="001C0C22"/>
    <w:rsid w:val="001C3FAB"/>
    <w:rsid w:val="001C5A35"/>
    <w:rsid w:val="001D0B31"/>
    <w:rsid w:val="001E02E2"/>
    <w:rsid w:val="001E63E8"/>
    <w:rsid w:val="0020706D"/>
    <w:rsid w:val="0020719F"/>
    <w:rsid w:val="00215BD8"/>
    <w:rsid w:val="002211C3"/>
    <w:rsid w:val="002300AC"/>
    <w:rsid w:val="002310B6"/>
    <w:rsid w:val="00235AED"/>
    <w:rsid w:val="00235DB3"/>
    <w:rsid w:val="00242D85"/>
    <w:rsid w:val="00243FC2"/>
    <w:rsid w:val="002531A2"/>
    <w:rsid w:val="0027542F"/>
    <w:rsid w:val="0027596D"/>
    <w:rsid w:val="00276A07"/>
    <w:rsid w:val="00282E01"/>
    <w:rsid w:val="0028560D"/>
    <w:rsid w:val="002878E9"/>
    <w:rsid w:val="002A304A"/>
    <w:rsid w:val="002C5477"/>
    <w:rsid w:val="002D0CA7"/>
    <w:rsid w:val="002D490D"/>
    <w:rsid w:val="002E098C"/>
    <w:rsid w:val="00302820"/>
    <w:rsid w:val="00314B61"/>
    <w:rsid w:val="00322054"/>
    <w:rsid w:val="0035104A"/>
    <w:rsid w:val="003513D9"/>
    <w:rsid w:val="00366142"/>
    <w:rsid w:val="003731E8"/>
    <w:rsid w:val="003923DC"/>
    <w:rsid w:val="003A0D0C"/>
    <w:rsid w:val="003B1B77"/>
    <w:rsid w:val="003C3817"/>
    <w:rsid w:val="003E25BD"/>
    <w:rsid w:val="003E3C3B"/>
    <w:rsid w:val="003F1001"/>
    <w:rsid w:val="003F7793"/>
    <w:rsid w:val="00402DEB"/>
    <w:rsid w:val="004147D7"/>
    <w:rsid w:val="00417F71"/>
    <w:rsid w:val="00422C03"/>
    <w:rsid w:val="00425DF5"/>
    <w:rsid w:val="0043259E"/>
    <w:rsid w:val="00444969"/>
    <w:rsid w:val="00446488"/>
    <w:rsid w:val="00454E63"/>
    <w:rsid w:val="00474928"/>
    <w:rsid w:val="00481E88"/>
    <w:rsid w:val="004837E9"/>
    <w:rsid w:val="00485636"/>
    <w:rsid w:val="00497B84"/>
    <w:rsid w:val="004B4461"/>
    <w:rsid w:val="004C1329"/>
    <w:rsid w:val="004C5F3F"/>
    <w:rsid w:val="004C5FBA"/>
    <w:rsid w:val="004D001C"/>
    <w:rsid w:val="004D2BC6"/>
    <w:rsid w:val="004D4013"/>
    <w:rsid w:val="004E3C3D"/>
    <w:rsid w:val="004E6860"/>
    <w:rsid w:val="004F34CE"/>
    <w:rsid w:val="00507C99"/>
    <w:rsid w:val="00513AC3"/>
    <w:rsid w:val="0052581D"/>
    <w:rsid w:val="00573097"/>
    <w:rsid w:val="0059484E"/>
    <w:rsid w:val="005949E9"/>
    <w:rsid w:val="005C3F0F"/>
    <w:rsid w:val="005C6632"/>
    <w:rsid w:val="005D63B5"/>
    <w:rsid w:val="005F7AF9"/>
    <w:rsid w:val="00617706"/>
    <w:rsid w:val="00625215"/>
    <w:rsid w:val="00632D76"/>
    <w:rsid w:val="00635387"/>
    <w:rsid w:val="0064411F"/>
    <w:rsid w:val="006450B5"/>
    <w:rsid w:val="00662679"/>
    <w:rsid w:val="00670923"/>
    <w:rsid w:val="00693268"/>
    <w:rsid w:val="006D28FD"/>
    <w:rsid w:val="006D5A4F"/>
    <w:rsid w:val="006E0C70"/>
    <w:rsid w:val="007173C4"/>
    <w:rsid w:val="007233AE"/>
    <w:rsid w:val="007309FF"/>
    <w:rsid w:val="00762E8B"/>
    <w:rsid w:val="00763062"/>
    <w:rsid w:val="0076426B"/>
    <w:rsid w:val="0077625B"/>
    <w:rsid w:val="00785ADE"/>
    <w:rsid w:val="00794D31"/>
    <w:rsid w:val="0079523A"/>
    <w:rsid w:val="007A57E8"/>
    <w:rsid w:val="007D0939"/>
    <w:rsid w:val="007D16DA"/>
    <w:rsid w:val="007E10F2"/>
    <w:rsid w:val="007E4774"/>
    <w:rsid w:val="007F0D18"/>
    <w:rsid w:val="00803BB7"/>
    <w:rsid w:val="00816A0A"/>
    <w:rsid w:val="008221AF"/>
    <w:rsid w:val="008411E8"/>
    <w:rsid w:val="00880FBC"/>
    <w:rsid w:val="00891088"/>
    <w:rsid w:val="008A2C3C"/>
    <w:rsid w:val="008B17B0"/>
    <w:rsid w:val="008B25D4"/>
    <w:rsid w:val="008B7382"/>
    <w:rsid w:val="008C1DA5"/>
    <w:rsid w:val="008C4A7A"/>
    <w:rsid w:val="008D5AD1"/>
    <w:rsid w:val="008F1CBC"/>
    <w:rsid w:val="008F5E02"/>
    <w:rsid w:val="00902385"/>
    <w:rsid w:val="00911E37"/>
    <w:rsid w:val="00912E08"/>
    <w:rsid w:val="00924A4B"/>
    <w:rsid w:val="00940ED1"/>
    <w:rsid w:val="00944739"/>
    <w:rsid w:val="00953104"/>
    <w:rsid w:val="009617B9"/>
    <w:rsid w:val="0096352C"/>
    <w:rsid w:val="00967481"/>
    <w:rsid w:val="0097555F"/>
    <w:rsid w:val="00990B15"/>
    <w:rsid w:val="009910A5"/>
    <w:rsid w:val="009971E8"/>
    <w:rsid w:val="009B448C"/>
    <w:rsid w:val="009B4F3A"/>
    <w:rsid w:val="009D1ECE"/>
    <w:rsid w:val="009D79A2"/>
    <w:rsid w:val="009F1903"/>
    <w:rsid w:val="009F5D86"/>
    <w:rsid w:val="009F6914"/>
    <w:rsid w:val="00A0716A"/>
    <w:rsid w:val="00A14CDA"/>
    <w:rsid w:val="00A525C7"/>
    <w:rsid w:val="00A6595D"/>
    <w:rsid w:val="00A9277E"/>
    <w:rsid w:val="00AA0CF1"/>
    <w:rsid w:val="00AA57E7"/>
    <w:rsid w:val="00AC0240"/>
    <w:rsid w:val="00AC138D"/>
    <w:rsid w:val="00AD3BE3"/>
    <w:rsid w:val="00AE072E"/>
    <w:rsid w:val="00B02A43"/>
    <w:rsid w:val="00B1141A"/>
    <w:rsid w:val="00B341A1"/>
    <w:rsid w:val="00B35C94"/>
    <w:rsid w:val="00B36B1B"/>
    <w:rsid w:val="00B57D33"/>
    <w:rsid w:val="00B72823"/>
    <w:rsid w:val="00B83487"/>
    <w:rsid w:val="00B86AA4"/>
    <w:rsid w:val="00B91492"/>
    <w:rsid w:val="00BA0467"/>
    <w:rsid w:val="00BA34A1"/>
    <w:rsid w:val="00BA48D3"/>
    <w:rsid w:val="00BC4C25"/>
    <w:rsid w:val="00BC774D"/>
    <w:rsid w:val="00BD5597"/>
    <w:rsid w:val="00BD6FFC"/>
    <w:rsid w:val="00BF5370"/>
    <w:rsid w:val="00C00B9F"/>
    <w:rsid w:val="00C02E64"/>
    <w:rsid w:val="00C05ECC"/>
    <w:rsid w:val="00C0683F"/>
    <w:rsid w:val="00C20A84"/>
    <w:rsid w:val="00C64E4C"/>
    <w:rsid w:val="00C80638"/>
    <w:rsid w:val="00CE2B9E"/>
    <w:rsid w:val="00CE56A8"/>
    <w:rsid w:val="00CF413E"/>
    <w:rsid w:val="00D05D9E"/>
    <w:rsid w:val="00D05F6C"/>
    <w:rsid w:val="00D10DAD"/>
    <w:rsid w:val="00D1267E"/>
    <w:rsid w:val="00D217F4"/>
    <w:rsid w:val="00D53EAB"/>
    <w:rsid w:val="00D561AA"/>
    <w:rsid w:val="00D853C8"/>
    <w:rsid w:val="00DA2C8E"/>
    <w:rsid w:val="00DD0CBB"/>
    <w:rsid w:val="00DD313C"/>
    <w:rsid w:val="00DD46A9"/>
    <w:rsid w:val="00DE466E"/>
    <w:rsid w:val="00DE68B9"/>
    <w:rsid w:val="00DF0187"/>
    <w:rsid w:val="00DF369C"/>
    <w:rsid w:val="00DF3B9A"/>
    <w:rsid w:val="00DF5ECE"/>
    <w:rsid w:val="00DF6222"/>
    <w:rsid w:val="00E17817"/>
    <w:rsid w:val="00E226AB"/>
    <w:rsid w:val="00E348D1"/>
    <w:rsid w:val="00E42903"/>
    <w:rsid w:val="00E65DE6"/>
    <w:rsid w:val="00EA3E4C"/>
    <w:rsid w:val="00EA4C30"/>
    <w:rsid w:val="00EA571F"/>
    <w:rsid w:val="00ED4372"/>
    <w:rsid w:val="00EE668F"/>
    <w:rsid w:val="00EF7E2E"/>
    <w:rsid w:val="00F16544"/>
    <w:rsid w:val="00F412CA"/>
    <w:rsid w:val="00F41AF8"/>
    <w:rsid w:val="00F42AB2"/>
    <w:rsid w:val="00F50E52"/>
    <w:rsid w:val="00F54F9E"/>
    <w:rsid w:val="00F67AC1"/>
    <w:rsid w:val="00F71F08"/>
    <w:rsid w:val="00F74BBA"/>
    <w:rsid w:val="00F77C77"/>
    <w:rsid w:val="00F87FEA"/>
    <w:rsid w:val="00F94CE9"/>
    <w:rsid w:val="00FB0F68"/>
    <w:rsid w:val="00FB45F3"/>
    <w:rsid w:val="00FC10BF"/>
    <w:rsid w:val="00FC35A1"/>
    <w:rsid w:val="00FC4F82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822DB-884A-4A6F-8CD3-0564C8B3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3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62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.tah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ALLIO</dc:creator>
  <cp:keywords/>
  <dc:description/>
  <cp:lastModifiedBy>user</cp:lastModifiedBy>
  <cp:revision>2</cp:revision>
  <cp:lastPrinted>2019-11-01T19:12:00Z</cp:lastPrinted>
  <dcterms:created xsi:type="dcterms:W3CDTF">2020-02-03T15:58:00Z</dcterms:created>
  <dcterms:modified xsi:type="dcterms:W3CDTF">2020-02-03T15:58:00Z</dcterms:modified>
</cp:coreProperties>
</file>