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71DB" w14:textId="77777777" w:rsidR="0073697A" w:rsidRPr="002A025B" w:rsidRDefault="0073697A" w:rsidP="008C7CA9">
      <w:pPr>
        <w:spacing w:after="0"/>
        <w:jc w:val="center"/>
        <w:rPr>
          <w:rFonts w:eastAsia="Times New Roman" w:cs="Times New Roman"/>
          <w:color w:val="000000" w:themeColor="text1"/>
          <w:szCs w:val="24"/>
          <w:lang w:eastAsia="fr-FR"/>
        </w:rPr>
      </w:pPr>
      <w:r w:rsidRPr="002A025B">
        <w:rPr>
          <w:rFonts w:eastAsia="Times New Roman" w:cs="Times New Roman"/>
          <w:smallCaps/>
          <w:color w:val="000000" w:themeColor="text1"/>
          <w:sz w:val="47"/>
          <w:szCs w:val="47"/>
          <w:lang w:eastAsia="fr-FR"/>
        </w:rPr>
        <w:t>Ces lieux où l’on pense</w:t>
      </w:r>
    </w:p>
    <w:p w14:paraId="153682E7" w14:textId="3617342A" w:rsidR="0073697A" w:rsidRPr="002A025B" w:rsidRDefault="00F758B8" w:rsidP="008C7CA9">
      <w:pPr>
        <w:spacing w:after="160"/>
        <w:jc w:val="center"/>
        <w:rPr>
          <w:rFonts w:eastAsia="Times New Roman" w:cs="Times New Roman"/>
          <w:i/>
          <w:iCs/>
          <w:color w:val="000000" w:themeColor="text1"/>
          <w:sz w:val="27"/>
          <w:szCs w:val="27"/>
          <w:lang w:eastAsia="fr-FR"/>
        </w:rPr>
      </w:pPr>
      <w:r w:rsidRPr="002A025B">
        <w:rPr>
          <w:rFonts w:eastAsia="Times New Roman" w:cs="Times New Roman"/>
          <w:i/>
          <w:iCs/>
          <w:color w:val="000000" w:themeColor="text1"/>
          <w:sz w:val="27"/>
          <w:szCs w:val="27"/>
          <w:lang w:eastAsia="fr-FR"/>
        </w:rPr>
        <w:t>S</w:t>
      </w:r>
      <w:r w:rsidR="0073697A" w:rsidRPr="002A025B">
        <w:rPr>
          <w:rFonts w:eastAsia="Times New Roman" w:cs="Times New Roman"/>
          <w:i/>
          <w:iCs/>
          <w:color w:val="000000" w:themeColor="text1"/>
          <w:sz w:val="27"/>
          <w:szCs w:val="27"/>
          <w:lang w:eastAsia="fr-FR"/>
        </w:rPr>
        <w:t>cène, musée, bibliothèque</w:t>
      </w:r>
    </w:p>
    <w:p w14:paraId="32FB7B55" w14:textId="77777777" w:rsidR="00F758B8" w:rsidRPr="002A025B" w:rsidRDefault="00F758B8" w:rsidP="008C7CA9">
      <w:pPr>
        <w:spacing w:after="160"/>
        <w:jc w:val="center"/>
        <w:rPr>
          <w:rFonts w:eastAsia="Times New Roman" w:cs="Times New Roman"/>
          <w:i/>
          <w:iCs/>
          <w:color w:val="000000" w:themeColor="text1"/>
          <w:sz w:val="27"/>
          <w:szCs w:val="27"/>
          <w:lang w:eastAsia="fr-FR"/>
        </w:rPr>
      </w:pPr>
    </w:p>
    <w:p w14:paraId="74B735FB" w14:textId="27FBF391" w:rsidR="00F758B8" w:rsidRPr="002A025B" w:rsidRDefault="0079721F" w:rsidP="008C7CA9">
      <w:pPr>
        <w:spacing w:after="160"/>
        <w:jc w:val="center"/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</w:pPr>
      <w:r w:rsidRPr="002A025B"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  <w:t>Première session</w:t>
      </w:r>
      <w:r w:rsidR="003A7205" w:rsidRPr="002A025B"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  <w:t xml:space="preserve"> </w:t>
      </w:r>
    </w:p>
    <w:p w14:paraId="339ED0AD" w14:textId="0E260A57" w:rsidR="00F758B8" w:rsidRPr="002A025B" w:rsidRDefault="00F758B8" w:rsidP="008C7CA9">
      <w:pPr>
        <w:spacing w:after="160"/>
        <w:jc w:val="center"/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</w:pPr>
      <w:r w:rsidRPr="002A025B"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  <w:t xml:space="preserve">Université Sorbonne Nouvelle </w:t>
      </w:r>
      <w:r w:rsidRPr="002A025B"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  <w:softHyphen/>
        <w:t>– Paris 3</w:t>
      </w:r>
    </w:p>
    <w:p w14:paraId="4339740E" w14:textId="500CF53F" w:rsidR="00F758B8" w:rsidRPr="002A025B" w:rsidRDefault="0079721F" w:rsidP="008C7CA9">
      <w:pPr>
        <w:spacing w:after="160"/>
        <w:ind w:left="397"/>
        <w:jc w:val="center"/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</w:pPr>
      <w:r w:rsidRPr="002A025B"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  <w:t xml:space="preserve"> </w:t>
      </w:r>
      <w:r w:rsidR="00551A3F" w:rsidRPr="002A025B"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  <w:t>19 mai</w:t>
      </w:r>
      <w:r w:rsidR="00F758B8" w:rsidRPr="002A025B">
        <w:rPr>
          <w:rFonts w:eastAsia="Times New Roman" w:cs="Times New Roman"/>
          <w:iCs/>
          <w:color w:val="000000" w:themeColor="text1"/>
          <w:sz w:val="27"/>
          <w:szCs w:val="27"/>
          <w:lang w:eastAsia="fr-FR"/>
        </w:rPr>
        <w:t xml:space="preserve"> 2017</w:t>
      </w:r>
    </w:p>
    <w:p w14:paraId="67488F10" w14:textId="77777777" w:rsidR="0073697A" w:rsidRPr="002A025B" w:rsidRDefault="0073697A" w:rsidP="008C7CA9">
      <w:pPr>
        <w:spacing w:after="0"/>
        <w:rPr>
          <w:rFonts w:eastAsia="Times New Roman" w:cs="Times New Roman"/>
          <w:color w:val="000000" w:themeColor="text1"/>
          <w:szCs w:val="24"/>
          <w:lang w:eastAsia="fr-FR"/>
        </w:rPr>
      </w:pPr>
    </w:p>
    <w:p w14:paraId="0257B9B5" w14:textId="10D77A61" w:rsidR="00750029" w:rsidRPr="002A025B" w:rsidRDefault="0073697A" w:rsidP="0092645C">
      <w:pPr>
        <w:rPr>
          <w:color w:val="000000" w:themeColor="text1"/>
          <w:lang w:eastAsia="fr-FR"/>
        </w:rPr>
      </w:pPr>
      <w:r w:rsidRPr="002A025B">
        <w:rPr>
          <w:color w:val="000000" w:themeColor="text1"/>
          <w:lang w:eastAsia="fr-FR"/>
        </w:rPr>
        <w:t>Nous nous proposons</w:t>
      </w:r>
      <w:r w:rsidR="00F758B8" w:rsidRPr="002A025B">
        <w:rPr>
          <w:color w:val="000000" w:themeColor="text1"/>
          <w:lang w:eastAsia="fr-FR"/>
        </w:rPr>
        <w:t xml:space="preserve">, </w:t>
      </w:r>
      <w:r w:rsidR="00016F90" w:rsidRPr="002A025B">
        <w:rPr>
          <w:color w:val="000000" w:themeColor="text1"/>
          <w:lang w:eastAsia="fr-FR"/>
        </w:rPr>
        <w:t xml:space="preserve">au cours d’un </w:t>
      </w:r>
      <w:r w:rsidR="005C2E5F" w:rsidRPr="002A025B">
        <w:rPr>
          <w:color w:val="000000" w:themeColor="text1"/>
          <w:lang w:eastAsia="fr-FR"/>
        </w:rPr>
        <w:t>cycle</w:t>
      </w:r>
      <w:r w:rsidR="00016F90" w:rsidRPr="002A025B">
        <w:rPr>
          <w:color w:val="000000" w:themeColor="text1"/>
          <w:lang w:eastAsia="fr-FR"/>
        </w:rPr>
        <w:t xml:space="preserve"> de journées d’études et de colloque</w:t>
      </w:r>
      <w:r w:rsidR="00A06835" w:rsidRPr="002A025B">
        <w:rPr>
          <w:color w:val="000000" w:themeColor="text1"/>
          <w:lang w:eastAsia="fr-FR"/>
        </w:rPr>
        <w:t>s</w:t>
      </w:r>
      <w:r w:rsidR="00016F90" w:rsidRPr="002A025B">
        <w:rPr>
          <w:color w:val="000000" w:themeColor="text1"/>
          <w:lang w:eastAsia="fr-FR"/>
        </w:rPr>
        <w:t>,</w:t>
      </w:r>
      <w:r w:rsidRPr="002A025B">
        <w:rPr>
          <w:color w:val="000000" w:themeColor="text1"/>
          <w:lang w:eastAsia="fr-FR"/>
        </w:rPr>
        <w:t xml:space="preserve"> d’examiner la façon dont </w:t>
      </w:r>
      <w:r w:rsidR="00016F90" w:rsidRPr="002A025B">
        <w:rPr>
          <w:color w:val="000000" w:themeColor="text1"/>
          <w:lang w:eastAsia="fr-FR"/>
        </w:rPr>
        <w:t xml:space="preserve">des lieux – </w:t>
      </w:r>
      <w:r w:rsidRPr="002A025B">
        <w:rPr>
          <w:color w:val="000000" w:themeColor="text1"/>
          <w:lang w:eastAsia="fr-FR"/>
        </w:rPr>
        <w:t>la scène, l’e</w:t>
      </w:r>
      <w:r w:rsidR="00016F90" w:rsidRPr="002A025B">
        <w:rPr>
          <w:color w:val="000000" w:themeColor="text1"/>
          <w:lang w:eastAsia="fr-FR"/>
        </w:rPr>
        <w:t>space muséal et la bibliothèque</w:t>
      </w:r>
      <w:r w:rsidR="00187435" w:rsidRPr="002A025B">
        <w:rPr>
          <w:color w:val="000000" w:themeColor="text1"/>
          <w:lang w:eastAsia="fr-FR"/>
        </w:rPr>
        <w:t>, dans leur acception la plu</w:t>
      </w:r>
      <w:r w:rsidR="00720885" w:rsidRPr="002A025B">
        <w:rPr>
          <w:color w:val="000000" w:themeColor="text1"/>
          <w:lang w:eastAsia="fr-FR"/>
        </w:rPr>
        <w:t>s</w:t>
      </w:r>
      <w:r w:rsidR="00187435" w:rsidRPr="002A025B">
        <w:rPr>
          <w:color w:val="000000" w:themeColor="text1"/>
          <w:lang w:eastAsia="fr-FR"/>
        </w:rPr>
        <w:t xml:space="preserve"> large</w:t>
      </w:r>
      <w:r w:rsidR="00187435" w:rsidRPr="002A025B">
        <w:rPr>
          <w:rStyle w:val="Appelnotedebasdep"/>
          <w:color w:val="000000" w:themeColor="text1"/>
          <w:lang w:eastAsia="fr-FR"/>
        </w:rPr>
        <w:footnoteReference w:id="1"/>
      </w:r>
      <w:r w:rsidR="00016F90" w:rsidRPr="002A025B">
        <w:rPr>
          <w:color w:val="000000" w:themeColor="text1"/>
          <w:lang w:eastAsia="fr-FR"/>
        </w:rPr>
        <w:t xml:space="preserve"> – </w:t>
      </w:r>
      <w:r w:rsidRPr="002A025B">
        <w:rPr>
          <w:color w:val="000000" w:themeColor="text1"/>
          <w:lang w:eastAsia="fr-FR"/>
        </w:rPr>
        <w:t xml:space="preserve">génèrent et modèlent de la pensée. </w:t>
      </w:r>
      <w:r w:rsidR="00750029" w:rsidRPr="002A025B">
        <w:rPr>
          <w:color w:val="000000" w:themeColor="text1"/>
          <w:lang w:eastAsia="fr-FR"/>
        </w:rPr>
        <w:t xml:space="preserve">Il s’agira de </w:t>
      </w:r>
      <w:r w:rsidR="002B6CF8" w:rsidRPr="002A025B">
        <w:rPr>
          <w:color w:val="000000" w:themeColor="text1"/>
          <w:lang w:eastAsia="fr-FR"/>
        </w:rPr>
        <w:t xml:space="preserve">mettre à l’épreuve une hypothèse : </w:t>
      </w:r>
      <w:r w:rsidRPr="002A025B">
        <w:rPr>
          <w:color w:val="000000" w:themeColor="text1"/>
          <w:lang w:eastAsia="fr-FR"/>
        </w:rPr>
        <w:t>que ces « lieux » (espaces circonscrits dans un territoire, archit</w:t>
      </w:r>
      <w:r w:rsidR="00A06835" w:rsidRPr="002A025B">
        <w:rPr>
          <w:color w:val="000000" w:themeColor="text1"/>
          <w:lang w:eastAsia="fr-FR"/>
        </w:rPr>
        <w:t xml:space="preserve">ecture, </w:t>
      </w:r>
      <w:r w:rsidR="00DD72D0">
        <w:rPr>
          <w:color w:val="000000" w:themeColor="text1"/>
          <w:lang w:eastAsia="fr-FR"/>
        </w:rPr>
        <w:t xml:space="preserve">dispositif </w:t>
      </w:r>
      <w:r w:rsidR="00917F92" w:rsidRPr="002A025B">
        <w:rPr>
          <w:color w:val="000000" w:themeColor="text1"/>
          <w:lang w:eastAsia="fr-FR"/>
        </w:rPr>
        <w:t xml:space="preserve">– </w:t>
      </w:r>
      <w:r w:rsidRPr="002A025B">
        <w:rPr>
          <w:color w:val="000000" w:themeColor="text1"/>
          <w:lang w:eastAsia="fr-FR"/>
        </w:rPr>
        <w:t>s</w:t>
      </w:r>
      <w:r w:rsidR="00917F92" w:rsidRPr="002A025B">
        <w:rPr>
          <w:color w:val="000000" w:themeColor="text1"/>
          <w:lang w:eastAsia="fr-FR"/>
        </w:rPr>
        <w:t xml:space="preserve">cénographique, </w:t>
      </w:r>
      <w:proofErr w:type="spellStart"/>
      <w:r w:rsidR="00996F22" w:rsidRPr="00996F22">
        <w:rPr>
          <w:color w:val="000000" w:themeColor="text1"/>
          <w:lang w:eastAsia="fr-FR"/>
        </w:rPr>
        <w:t>expographique</w:t>
      </w:r>
      <w:proofErr w:type="spellEnd"/>
      <w:r w:rsidR="00996F22">
        <w:rPr>
          <w:color w:val="000000" w:themeColor="text1"/>
          <w:lang w:eastAsia="fr-FR"/>
        </w:rPr>
        <w:t xml:space="preserve">, </w:t>
      </w:r>
      <w:r w:rsidR="00917F92" w:rsidRPr="002A025B">
        <w:rPr>
          <w:color w:val="000000" w:themeColor="text1"/>
          <w:lang w:eastAsia="fr-FR"/>
        </w:rPr>
        <w:t>classificatoire</w:t>
      </w:r>
      <w:r w:rsidR="00D155EA">
        <w:rPr>
          <w:color w:val="000000" w:themeColor="text1"/>
          <w:lang w:eastAsia="fr-FR"/>
        </w:rPr>
        <w:t xml:space="preserve">, </w:t>
      </w:r>
      <w:r w:rsidR="00917F92" w:rsidRPr="002A025B">
        <w:rPr>
          <w:color w:val="000000" w:themeColor="text1"/>
          <w:lang w:eastAsia="fr-FR"/>
        </w:rPr>
        <w:t>…  –</w:t>
      </w:r>
      <w:r w:rsidRPr="002A025B">
        <w:rPr>
          <w:color w:val="000000" w:themeColor="text1"/>
          <w:lang w:eastAsia="fr-FR"/>
        </w:rPr>
        <w:t xml:space="preserve"> , systèmes institutionnels et professionnels définis par des missions et des valeurs spécifiques, </w:t>
      </w:r>
      <w:r w:rsidR="000A3411" w:rsidRPr="002A025B">
        <w:rPr>
          <w:color w:val="000000" w:themeColor="text1"/>
          <w:lang w:eastAsia="fr-FR"/>
        </w:rPr>
        <w:t>œuvres</w:t>
      </w:r>
      <w:r w:rsidRPr="002A025B">
        <w:rPr>
          <w:color w:val="000000" w:themeColor="text1"/>
          <w:lang w:eastAsia="fr-FR"/>
        </w:rPr>
        <w:t xml:space="preserve"> et objets présentés) déterminent des modes d’exercice de la pensée qui leur sont propres, tant du côté de ceux qui y « œuvrent » (expositeurs /concepteurs / artistes / programmateurs…) que du côté des publics (visiteurs, spectateurs, usagers</w:t>
      </w:r>
      <w:r w:rsidR="00A763E6" w:rsidRPr="002A025B">
        <w:rPr>
          <w:color w:val="000000" w:themeColor="text1"/>
          <w:lang w:eastAsia="fr-FR"/>
        </w:rPr>
        <w:t>) ; qu’ils peuvent</w:t>
      </w:r>
      <w:r w:rsidR="00C41CCE" w:rsidRPr="002A025B">
        <w:rPr>
          <w:color w:val="000000" w:themeColor="text1"/>
          <w:lang w:eastAsia="fr-FR"/>
        </w:rPr>
        <w:t>, conjointement,</w:t>
      </w:r>
      <w:r w:rsidR="00A763E6" w:rsidRPr="002A025B">
        <w:rPr>
          <w:color w:val="000000" w:themeColor="text1"/>
          <w:lang w:eastAsia="fr-FR"/>
        </w:rPr>
        <w:t xml:space="preserve"> être conçus – </w:t>
      </w:r>
      <w:r w:rsidRPr="002A025B">
        <w:rPr>
          <w:color w:val="000000" w:themeColor="text1"/>
          <w:lang w:eastAsia="fr-FR"/>
        </w:rPr>
        <w:t xml:space="preserve">fabriqués, pensés, </w:t>
      </w:r>
      <w:r w:rsidR="00A763E6" w:rsidRPr="002A025B">
        <w:rPr>
          <w:color w:val="000000" w:themeColor="text1"/>
          <w:lang w:eastAsia="fr-FR"/>
        </w:rPr>
        <w:t xml:space="preserve">analysés, interprétés – comme des espaces de pratique </w:t>
      </w:r>
      <w:r w:rsidR="00713663" w:rsidRPr="002A025B">
        <w:rPr>
          <w:color w:val="000000" w:themeColor="text1"/>
          <w:lang w:eastAsia="fr-FR"/>
        </w:rPr>
        <w:t xml:space="preserve">de la pensée – </w:t>
      </w:r>
      <w:r w:rsidRPr="002A025B">
        <w:rPr>
          <w:color w:val="000000" w:themeColor="text1"/>
          <w:lang w:eastAsia="fr-FR"/>
        </w:rPr>
        <w:t>fut-elle simplement une potentialité, qui s’actualis</w:t>
      </w:r>
      <w:r w:rsidR="00713663" w:rsidRPr="002A025B">
        <w:rPr>
          <w:color w:val="000000" w:themeColor="text1"/>
          <w:lang w:eastAsia="fr-FR"/>
        </w:rPr>
        <w:t>erait de façon fugace, sommaire –</w:t>
      </w:r>
      <w:r w:rsidR="000A3411" w:rsidRPr="002A025B">
        <w:rPr>
          <w:color w:val="000000" w:themeColor="text1"/>
          <w:lang w:eastAsia="fr-FR"/>
        </w:rPr>
        <w:t>, voire de l’exercice philosophique</w:t>
      </w:r>
      <w:r w:rsidR="000F39AF" w:rsidRPr="002A025B">
        <w:rPr>
          <w:color w:val="000000" w:themeColor="text1"/>
          <w:lang w:eastAsia="fr-FR"/>
        </w:rPr>
        <w:t xml:space="preserve">, </w:t>
      </w:r>
      <w:r w:rsidRPr="002A025B">
        <w:rPr>
          <w:color w:val="000000" w:themeColor="text1"/>
          <w:lang w:eastAsia="fr-FR"/>
        </w:rPr>
        <w:t xml:space="preserve">en son sens le plus </w:t>
      </w:r>
      <w:r w:rsidR="002A4DAD" w:rsidRPr="002A025B">
        <w:rPr>
          <w:color w:val="000000" w:themeColor="text1"/>
          <w:lang w:eastAsia="fr-FR"/>
        </w:rPr>
        <w:t>ouvert</w:t>
      </w:r>
      <w:r w:rsidRPr="002A025B">
        <w:rPr>
          <w:color w:val="000000" w:themeColor="text1"/>
          <w:lang w:eastAsia="fr-FR"/>
        </w:rPr>
        <w:t xml:space="preserve"> de pratique d’une pensée </w:t>
      </w:r>
      <w:r w:rsidR="000A3411" w:rsidRPr="002A025B">
        <w:rPr>
          <w:color w:val="000000" w:themeColor="text1"/>
          <w:lang w:eastAsia="fr-FR"/>
        </w:rPr>
        <w:t xml:space="preserve">contemplative, </w:t>
      </w:r>
      <w:r w:rsidR="004E4764" w:rsidRPr="002A025B">
        <w:rPr>
          <w:color w:val="000000" w:themeColor="text1"/>
          <w:lang w:eastAsia="fr-FR"/>
        </w:rPr>
        <w:t xml:space="preserve">réflexive ou critique. </w:t>
      </w:r>
    </w:p>
    <w:p w14:paraId="45330BA5" w14:textId="77777777" w:rsidR="0092645C" w:rsidRPr="002A025B" w:rsidRDefault="0092645C" w:rsidP="0092645C">
      <w:pPr>
        <w:rPr>
          <w:color w:val="000000" w:themeColor="text1"/>
          <w:lang w:eastAsia="fr-FR"/>
        </w:rPr>
      </w:pPr>
    </w:p>
    <w:p w14:paraId="7A46AEB8" w14:textId="5289857F" w:rsidR="0092645C" w:rsidRPr="002A025B" w:rsidRDefault="005771F1" w:rsidP="0092645C">
      <w:pPr>
        <w:rPr>
          <w:rFonts w:cs="Arial"/>
          <w:color w:val="000000" w:themeColor="text1"/>
          <w:lang w:eastAsia="fr-FR"/>
        </w:rPr>
      </w:pPr>
      <w:r w:rsidRPr="002A025B">
        <w:rPr>
          <w:rFonts w:cs="Arial"/>
          <w:color w:val="000000" w:themeColor="text1"/>
          <w:lang w:eastAsia="fr-FR"/>
        </w:rPr>
        <w:t xml:space="preserve">Un </w:t>
      </w:r>
      <w:r w:rsidR="00825104" w:rsidRPr="002A025B">
        <w:rPr>
          <w:rFonts w:cs="Arial"/>
          <w:color w:val="000000" w:themeColor="text1"/>
          <w:lang w:eastAsia="fr-FR"/>
        </w:rPr>
        <w:t xml:space="preserve">tel rapprochement entre </w:t>
      </w:r>
      <w:r w:rsidR="00D6722E" w:rsidRPr="002A025B">
        <w:rPr>
          <w:rFonts w:cs="Arial"/>
          <w:color w:val="000000" w:themeColor="text1"/>
          <w:lang w:eastAsia="fr-FR"/>
        </w:rPr>
        <w:t xml:space="preserve">des </w:t>
      </w:r>
      <w:r w:rsidR="00825104" w:rsidRPr="002A025B">
        <w:rPr>
          <w:rFonts w:cs="Arial"/>
          <w:color w:val="000000" w:themeColor="text1"/>
          <w:lang w:eastAsia="fr-FR"/>
        </w:rPr>
        <w:t>institutions et des espaces par ailleurs (souvent) distincts</w:t>
      </w:r>
      <w:r w:rsidR="00901FA7" w:rsidRPr="002A025B">
        <w:rPr>
          <w:rFonts w:cs="Arial"/>
          <w:color w:val="000000" w:themeColor="text1"/>
          <w:lang w:eastAsia="fr-FR"/>
        </w:rPr>
        <w:t>,</w:t>
      </w:r>
      <w:r w:rsidRPr="002A025B">
        <w:rPr>
          <w:rFonts w:cs="Arial"/>
          <w:color w:val="000000" w:themeColor="text1"/>
          <w:lang w:eastAsia="fr-FR"/>
        </w:rPr>
        <w:t xml:space="preserve"> s’</w:t>
      </w:r>
      <w:r w:rsidR="00426E23" w:rsidRPr="002A025B">
        <w:rPr>
          <w:rFonts w:cs="Arial"/>
          <w:color w:val="000000" w:themeColor="text1"/>
          <w:lang w:eastAsia="fr-FR"/>
        </w:rPr>
        <w:t>appuie sur un ensemble de caractères communs</w:t>
      </w:r>
      <w:r w:rsidR="00CA394D" w:rsidRPr="002A025B">
        <w:rPr>
          <w:rFonts w:cs="Arial"/>
          <w:color w:val="000000" w:themeColor="text1"/>
          <w:lang w:eastAsia="fr-FR"/>
        </w:rPr>
        <w:t>, manifestes</w:t>
      </w:r>
      <w:r w:rsidR="00120FD7" w:rsidRPr="002A025B">
        <w:rPr>
          <w:rFonts w:cs="Arial"/>
          <w:color w:val="000000" w:themeColor="text1"/>
          <w:lang w:eastAsia="fr-FR"/>
        </w:rPr>
        <w:t xml:space="preserve"> </w:t>
      </w:r>
      <w:r w:rsidR="00CA394D" w:rsidRPr="002A025B">
        <w:rPr>
          <w:rFonts w:cs="Arial"/>
          <w:color w:val="000000" w:themeColor="text1"/>
          <w:lang w:eastAsia="fr-FR"/>
        </w:rPr>
        <w:t xml:space="preserve">ou </w:t>
      </w:r>
      <w:r w:rsidR="00120FD7" w:rsidRPr="002A025B">
        <w:rPr>
          <w:rFonts w:cs="Arial"/>
          <w:color w:val="000000" w:themeColor="text1"/>
          <w:lang w:eastAsia="fr-FR"/>
        </w:rPr>
        <w:t>hypothétiques</w:t>
      </w:r>
      <w:r w:rsidR="00344BE4" w:rsidRPr="002A025B">
        <w:rPr>
          <w:rFonts w:cs="Arial"/>
          <w:color w:val="000000" w:themeColor="text1"/>
          <w:lang w:eastAsia="fr-FR"/>
        </w:rPr>
        <w:t xml:space="preserve"> </w:t>
      </w:r>
      <w:r w:rsidR="00120FD7" w:rsidRPr="002A025B">
        <w:rPr>
          <w:rFonts w:cs="Arial"/>
          <w:color w:val="000000" w:themeColor="text1"/>
          <w:lang w:eastAsia="fr-FR"/>
        </w:rPr>
        <w:t xml:space="preserve">– </w:t>
      </w:r>
      <w:r w:rsidR="00344BE4" w:rsidRPr="002A025B">
        <w:rPr>
          <w:rFonts w:cs="Arial"/>
          <w:color w:val="000000" w:themeColor="text1"/>
          <w:lang w:eastAsia="fr-FR"/>
        </w:rPr>
        <w:t>autant de propositions qu’il conviendra d’examiner</w:t>
      </w:r>
      <w:r w:rsidR="00825104" w:rsidRPr="002A025B">
        <w:rPr>
          <w:rFonts w:cs="Arial"/>
          <w:color w:val="000000" w:themeColor="text1"/>
          <w:lang w:eastAsia="fr-FR"/>
        </w:rPr>
        <w:t>. C</w:t>
      </w:r>
      <w:r w:rsidR="000A3411" w:rsidRPr="002A025B">
        <w:rPr>
          <w:rFonts w:cs="Arial"/>
          <w:color w:val="000000" w:themeColor="text1"/>
          <w:lang w:eastAsia="fr-FR"/>
        </w:rPr>
        <w:t>es lieux</w:t>
      </w:r>
      <w:r w:rsidR="004E1094" w:rsidRPr="002A025B">
        <w:rPr>
          <w:rFonts w:cs="Arial"/>
          <w:color w:val="000000" w:themeColor="text1"/>
          <w:lang w:eastAsia="fr-FR"/>
        </w:rPr>
        <w:t>, nettement circonscrits dans l’espace urbain, ou adoptant des formes plus diffuses,</w:t>
      </w:r>
      <w:r w:rsidR="0073697A" w:rsidRPr="002A025B">
        <w:rPr>
          <w:rFonts w:cs="Arial"/>
          <w:color w:val="000000" w:themeColor="text1"/>
          <w:lang w:eastAsia="fr-FR"/>
        </w:rPr>
        <w:t xml:space="preserve"> occupent</w:t>
      </w:r>
      <w:r w:rsidR="00C17C2E" w:rsidRPr="002A025B">
        <w:rPr>
          <w:rFonts w:cs="Arial"/>
          <w:color w:val="000000" w:themeColor="text1"/>
          <w:lang w:eastAsia="fr-FR"/>
        </w:rPr>
        <w:t xml:space="preserve"> dans la cité </w:t>
      </w:r>
      <w:r w:rsidR="0073697A" w:rsidRPr="002A025B">
        <w:rPr>
          <w:rFonts w:cs="Arial"/>
          <w:color w:val="000000" w:themeColor="text1"/>
          <w:lang w:eastAsia="fr-FR"/>
        </w:rPr>
        <w:t xml:space="preserve">une place singulière, </w:t>
      </w:r>
      <w:r w:rsidR="0073697A" w:rsidRPr="002A025B">
        <w:rPr>
          <w:rFonts w:cs="Arial"/>
          <w:i/>
          <w:iCs/>
          <w:color w:val="000000" w:themeColor="text1"/>
          <w:lang w:eastAsia="fr-FR"/>
        </w:rPr>
        <w:t>à part,</w:t>
      </w:r>
      <w:r w:rsidR="0073697A" w:rsidRPr="002A025B">
        <w:rPr>
          <w:rFonts w:cs="Arial"/>
          <w:color w:val="000000" w:themeColor="text1"/>
          <w:lang w:eastAsia="fr-FR"/>
        </w:rPr>
        <w:t xml:space="preserve"> </w:t>
      </w:r>
      <w:r w:rsidR="000A3411" w:rsidRPr="002A025B">
        <w:rPr>
          <w:rFonts w:cs="Arial"/>
          <w:color w:val="000000" w:themeColor="text1"/>
          <w:lang w:eastAsia="fr-FR"/>
        </w:rPr>
        <w:t>séparé</w:t>
      </w:r>
      <w:r w:rsidR="00E616F2" w:rsidRPr="002A025B">
        <w:rPr>
          <w:rFonts w:cs="Arial"/>
          <w:color w:val="000000" w:themeColor="text1"/>
          <w:lang w:eastAsia="fr-FR"/>
        </w:rPr>
        <w:t>e</w:t>
      </w:r>
      <w:r w:rsidR="000A3411" w:rsidRPr="002A025B">
        <w:rPr>
          <w:rFonts w:cs="Arial"/>
          <w:color w:val="000000" w:themeColor="text1"/>
          <w:lang w:eastAsia="fr-FR"/>
        </w:rPr>
        <w:t xml:space="preserve"> de</w:t>
      </w:r>
      <w:r w:rsidR="0073697A" w:rsidRPr="002A025B">
        <w:rPr>
          <w:rFonts w:cs="Arial"/>
          <w:color w:val="000000" w:themeColor="text1"/>
          <w:lang w:eastAsia="fr-FR"/>
        </w:rPr>
        <w:t xml:space="preserve"> la vie quotidienne</w:t>
      </w:r>
      <w:r w:rsidR="000A3411" w:rsidRPr="002A025B">
        <w:rPr>
          <w:rFonts w:cs="Arial"/>
          <w:color w:val="000000" w:themeColor="text1"/>
          <w:lang w:eastAsia="fr-FR"/>
        </w:rPr>
        <w:t xml:space="preserve"> ou profane</w:t>
      </w:r>
      <w:r w:rsidR="003C18B8" w:rsidRPr="002A025B">
        <w:rPr>
          <w:rFonts w:cs="Arial"/>
          <w:color w:val="000000" w:themeColor="text1"/>
          <w:lang w:eastAsia="fr-FR"/>
        </w:rPr>
        <w:t> :</w:t>
      </w:r>
      <w:r w:rsidR="00E616F2" w:rsidRPr="002A025B">
        <w:rPr>
          <w:rFonts w:cs="Arial"/>
          <w:color w:val="000000" w:themeColor="text1"/>
          <w:lang w:eastAsia="fr-FR"/>
        </w:rPr>
        <w:t xml:space="preserve"> </w:t>
      </w:r>
      <w:r w:rsidR="003C18B8" w:rsidRPr="002A025B">
        <w:rPr>
          <w:rFonts w:cs="Arial"/>
          <w:color w:val="000000" w:themeColor="text1"/>
          <w:lang w:eastAsia="fr-FR"/>
        </w:rPr>
        <w:t>d</w:t>
      </w:r>
      <w:r w:rsidR="0073697A" w:rsidRPr="002A025B">
        <w:rPr>
          <w:rFonts w:cs="Arial"/>
          <w:color w:val="000000" w:themeColor="text1"/>
          <w:lang w:eastAsia="fr-FR"/>
        </w:rPr>
        <w:t xml:space="preserve">évolus au </w:t>
      </w:r>
      <w:r w:rsidR="000A3411" w:rsidRPr="002A025B">
        <w:rPr>
          <w:rFonts w:cs="Arial"/>
          <w:color w:val="000000" w:themeColor="text1"/>
          <w:lang w:eastAsia="fr-FR"/>
        </w:rPr>
        <w:t xml:space="preserve">temps du </w:t>
      </w:r>
      <w:r w:rsidR="0073697A" w:rsidRPr="002A025B">
        <w:rPr>
          <w:rFonts w:cs="Arial"/>
          <w:color w:val="000000" w:themeColor="text1"/>
          <w:lang w:eastAsia="fr-FR"/>
        </w:rPr>
        <w:t>« loisir »</w:t>
      </w:r>
      <w:r w:rsidR="000A3411" w:rsidRPr="002A025B">
        <w:rPr>
          <w:rFonts w:cs="Arial"/>
          <w:color w:val="000000" w:themeColor="text1"/>
          <w:lang w:eastAsia="fr-FR"/>
        </w:rPr>
        <w:t xml:space="preserve"> (</w:t>
      </w:r>
      <w:proofErr w:type="spellStart"/>
      <w:r w:rsidR="000A3411" w:rsidRPr="002A025B">
        <w:rPr>
          <w:rFonts w:cs="Arial"/>
          <w:i/>
          <w:color w:val="000000" w:themeColor="text1"/>
          <w:lang w:eastAsia="fr-FR"/>
        </w:rPr>
        <w:t>otium</w:t>
      </w:r>
      <w:proofErr w:type="spellEnd"/>
      <w:r w:rsidR="000A3411" w:rsidRPr="002A025B">
        <w:rPr>
          <w:rFonts w:cs="Arial"/>
          <w:color w:val="000000" w:themeColor="text1"/>
          <w:lang w:eastAsia="fr-FR"/>
        </w:rPr>
        <w:t>) et</w:t>
      </w:r>
      <w:r w:rsidR="0073697A" w:rsidRPr="002A025B">
        <w:rPr>
          <w:rFonts w:cs="Arial"/>
          <w:color w:val="000000" w:themeColor="text1"/>
          <w:lang w:eastAsia="fr-FR"/>
        </w:rPr>
        <w:t xml:space="preserve"> </w:t>
      </w:r>
      <w:r w:rsidR="000A3411" w:rsidRPr="002A025B">
        <w:rPr>
          <w:rFonts w:cs="Arial"/>
          <w:color w:val="000000" w:themeColor="text1"/>
          <w:lang w:eastAsia="fr-FR"/>
        </w:rPr>
        <w:t xml:space="preserve">de </w:t>
      </w:r>
      <w:r w:rsidR="0073697A" w:rsidRPr="002A025B">
        <w:rPr>
          <w:rFonts w:cs="Arial"/>
          <w:color w:val="000000" w:themeColor="text1"/>
          <w:lang w:eastAsia="fr-FR"/>
        </w:rPr>
        <w:t>la « culture »</w:t>
      </w:r>
      <w:r w:rsidR="000A3411" w:rsidRPr="002A025B">
        <w:rPr>
          <w:rFonts w:cs="Arial"/>
          <w:color w:val="000000" w:themeColor="text1"/>
          <w:lang w:eastAsia="fr-FR"/>
        </w:rPr>
        <w:t>, voire du sacré</w:t>
      </w:r>
      <w:r w:rsidR="003C18B8" w:rsidRPr="002A025B">
        <w:rPr>
          <w:rFonts w:cs="Arial"/>
          <w:color w:val="000000" w:themeColor="text1"/>
          <w:lang w:eastAsia="fr-FR"/>
        </w:rPr>
        <w:t>,</w:t>
      </w:r>
      <w:r w:rsidR="0073697A" w:rsidRPr="002A025B">
        <w:rPr>
          <w:rFonts w:cs="Arial"/>
          <w:color w:val="000000" w:themeColor="text1"/>
          <w:lang w:eastAsia="fr-FR"/>
        </w:rPr>
        <w:t xml:space="preserve"> ils relèvent d’une temporalité exogène</w:t>
      </w:r>
      <w:r w:rsidR="00B908AE" w:rsidRPr="002A025B">
        <w:rPr>
          <w:rFonts w:cs="Arial"/>
          <w:color w:val="000000" w:themeColor="text1"/>
          <w:lang w:eastAsia="fr-FR"/>
        </w:rPr>
        <w:t>, que caractériserait</w:t>
      </w:r>
      <w:r w:rsidR="0073697A" w:rsidRPr="002A025B">
        <w:rPr>
          <w:rFonts w:cs="Arial"/>
          <w:color w:val="000000" w:themeColor="text1"/>
          <w:lang w:eastAsia="fr-FR"/>
        </w:rPr>
        <w:t xml:space="preserve"> une </w:t>
      </w:r>
      <w:r w:rsidR="008362CA" w:rsidRPr="002A025B">
        <w:rPr>
          <w:rFonts w:cs="Arial"/>
          <w:color w:val="000000" w:themeColor="text1"/>
          <w:lang w:eastAsia="fr-FR"/>
        </w:rPr>
        <w:t>forme de disponibilité</w:t>
      </w:r>
      <w:r w:rsidR="002B4C44">
        <w:rPr>
          <w:rFonts w:cs="Arial"/>
          <w:color w:val="000000" w:themeColor="text1"/>
          <w:lang w:eastAsia="fr-FR"/>
        </w:rPr>
        <w:t xml:space="preserve"> à des modes de perce</w:t>
      </w:r>
      <w:r w:rsidR="0073697A" w:rsidRPr="002A025B">
        <w:rPr>
          <w:rFonts w:cs="Arial"/>
          <w:color w:val="000000" w:themeColor="text1"/>
          <w:lang w:eastAsia="fr-FR"/>
        </w:rPr>
        <w:t>ption, d’appréhension, de réflexion spécifiques</w:t>
      </w:r>
      <w:r w:rsidR="008362CA" w:rsidRPr="002A025B">
        <w:rPr>
          <w:rFonts w:cs="Arial"/>
          <w:color w:val="000000" w:themeColor="text1"/>
          <w:lang w:eastAsia="fr-FR"/>
        </w:rPr>
        <w:t>.</w:t>
      </w:r>
    </w:p>
    <w:p w14:paraId="00E5FF49" w14:textId="24DA6C37" w:rsidR="0092645C" w:rsidRPr="002A025B" w:rsidRDefault="008362CA" w:rsidP="0092645C">
      <w:pPr>
        <w:rPr>
          <w:rFonts w:cs="Arial"/>
          <w:color w:val="000000" w:themeColor="text1"/>
          <w:lang w:eastAsia="fr-FR"/>
        </w:rPr>
      </w:pPr>
      <w:r w:rsidRPr="002A025B">
        <w:rPr>
          <w:rFonts w:cs="Arial"/>
          <w:color w:val="000000" w:themeColor="text1"/>
          <w:lang w:eastAsia="fr-FR"/>
        </w:rPr>
        <w:t xml:space="preserve"> </w:t>
      </w:r>
      <w:r w:rsidR="008C7CA9" w:rsidRPr="002A025B">
        <w:rPr>
          <w:rFonts w:cs="Arial"/>
          <w:color w:val="000000" w:themeColor="text1"/>
          <w:lang w:eastAsia="fr-FR"/>
        </w:rPr>
        <w:t>Ils</w:t>
      </w:r>
      <w:r w:rsidR="0073697A" w:rsidRPr="002A025B">
        <w:rPr>
          <w:rFonts w:cs="Arial"/>
          <w:color w:val="000000" w:themeColor="text1"/>
          <w:lang w:eastAsia="fr-FR"/>
        </w:rPr>
        <w:t xml:space="preserve"> </w:t>
      </w:r>
      <w:r w:rsidR="001E33BF" w:rsidRPr="002A025B">
        <w:rPr>
          <w:rFonts w:cs="Arial"/>
          <w:color w:val="000000" w:themeColor="text1"/>
          <w:lang w:eastAsia="fr-FR"/>
        </w:rPr>
        <w:t>sont égalem</w:t>
      </w:r>
      <w:r w:rsidR="00655339" w:rsidRPr="002A025B">
        <w:rPr>
          <w:rFonts w:cs="Arial"/>
          <w:color w:val="000000" w:themeColor="text1"/>
          <w:lang w:eastAsia="fr-FR"/>
        </w:rPr>
        <w:t>e</w:t>
      </w:r>
      <w:r w:rsidR="001E33BF" w:rsidRPr="002A025B">
        <w:rPr>
          <w:rFonts w:cs="Arial"/>
          <w:color w:val="000000" w:themeColor="text1"/>
          <w:lang w:eastAsia="fr-FR"/>
        </w:rPr>
        <w:t>nt</w:t>
      </w:r>
      <w:r w:rsidR="00655339" w:rsidRPr="002A025B">
        <w:rPr>
          <w:rFonts w:cs="Arial"/>
          <w:color w:val="000000" w:themeColor="text1"/>
          <w:lang w:eastAsia="fr-FR"/>
        </w:rPr>
        <w:t xml:space="preserve"> </w:t>
      </w:r>
      <w:r w:rsidR="003C18B8" w:rsidRPr="002A025B">
        <w:rPr>
          <w:rFonts w:cs="Arial"/>
          <w:i/>
          <w:color w:val="000000" w:themeColor="text1"/>
          <w:lang w:eastAsia="fr-FR"/>
        </w:rPr>
        <w:t>a priori</w:t>
      </w:r>
      <w:r w:rsidR="003C18B8" w:rsidRPr="002A025B">
        <w:rPr>
          <w:rFonts w:cs="Arial"/>
          <w:color w:val="000000" w:themeColor="text1"/>
          <w:lang w:eastAsia="fr-FR"/>
        </w:rPr>
        <w:t xml:space="preserve"> </w:t>
      </w:r>
      <w:r w:rsidR="004C7EB1" w:rsidRPr="002A025B">
        <w:rPr>
          <w:rFonts w:cs="Arial"/>
          <w:color w:val="000000" w:themeColor="text1"/>
          <w:lang w:eastAsia="fr-FR"/>
        </w:rPr>
        <w:t>définis par</w:t>
      </w:r>
      <w:r w:rsidR="00C47252" w:rsidRPr="002A025B">
        <w:rPr>
          <w:rFonts w:cs="Arial"/>
          <w:color w:val="000000" w:themeColor="text1"/>
          <w:lang w:eastAsia="fr-FR"/>
        </w:rPr>
        <w:t xml:space="preserve"> la</w:t>
      </w:r>
      <w:r w:rsidR="0073697A" w:rsidRPr="002A025B">
        <w:rPr>
          <w:rFonts w:cs="Arial"/>
          <w:color w:val="000000" w:themeColor="text1"/>
          <w:lang w:eastAsia="fr-FR"/>
        </w:rPr>
        <w:t xml:space="preserve"> nature « collective » et « publique » de leur fréquentation : </w:t>
      </w:r>
      <w:r w:rsidR="00191475" w:rsidRPr="002A025B">
        <w:rPr>
          <w:rFonts w:cs="Arial"/>
          <w:color w:val="000000" w:themeColor="text1"/>
          <w:lang w:eastAsia="fr-FR"/>
        </w:rPr>
        <w:t xml:space="preserve">ils sont </w:t>
      </w:r>
      <w:r w:rsidR="0073697A" w:rsidRPr="002A025B">
        <w:rPr>
          <w:rFonts w:cs="Arial"/>
          <w:color w:val="000000" w:themeColor="text1"/>
          <w:lang w:eastAsia="fr-FR"/>
        </w:rPr>
        <w:t xml:space="preserve">conçus </w:t>
      </w:r>
      <w:r w:rsidR="00B13004" w:rsidRPr="002A025B">
        <w:rPr>
          <w:rFonts w:cs="Arial"/>
          <w:color w:val="000000" w:themeColor="text1"/>
          <w:lang w:eastAsia="fr-FR"/>
        </w:rPr>
        <w:t xml:space="preserve">pour, </w:t>
      </w:r>
      <w:r w:rsidR="0073697A" w:rsidRPr="002A025B">
        <w:rPr>
          <w:rFonts w:cs="Arial"/>
          <w:color w:val="000000" w:themeColor="text1"/>
          <w:lang w:eastAsia="fr-FR"/>
        </w:rPr>
        <w:t>et pratiqués par</w:t>
      </w:r>
      <w:r w:rsidR="00B13004" w:rsidRPr="002A025B">
        <w:rPr>
          <w:rFonts w:cs="Arial"/>
          <w:color w:val="000000" w:themeColor="text1"/>
          <w:lang w:eastAsia="fr-FR"/>
        </w:rPr>
        <w:t>,</w:t>
      </w:r>
      <w:r w:rsidR="0073697A" w:rsidRPr="002A025B">
        <w:rPr>
          <w:rFonts w:cs="Arial"/>
          <w:color w:val="000000" w:themeColor="text1"/>
          <w:lang w:eastAsia="fr-FR"/>
        </w:rPr>
        <w:t xml:space="preserve"> </w:t>
      </w:r>
      <w:r w:rsidR="0073697A" w:rsidRPr="002A025B">
        <w:rPr>
          <w:rFonts w:cs="Arial"/>
          <w:i/>
          <w:iCs/>
          <w:color w:val="000000" w:themeColor="text1"/>
          <w:lang w:eastAsia="fr-FR"/>
        </w:rPr>
        <w:t>des</w:t>
      </w:r>
      <w:r w:rsidR="0073697A" w:rsidRPr="002A025B">
        <w:rPr>
          <w:rFonts w:cs="Arial"/>
          <w:color w:val="000000" w:themeColor="text1"/>
          <w:lang w:eastAsia="fr-FR"/>
        </w:rPr>
        <w:t xml:space="preserve"> usagers pluriels</w:t>
      </w:r>
      <w:r w:rsidR="004F7628" w:rsidRPr="002A025B">
        <w:rPr>
          <w:rFonts w:cs="Arial"/>
          <w:color w:val="000000" w:themeColor="text1"/>
          <w:lang w:eastAsia="fr-FR"/>
        </w:rPr>
        <w:t>,</w:t>
      </w:r>
      <w:r w:rsidR="00694904" w:rsidRPr="002A025B">
        <w:rPr>
          <w:rFonts w:cs="Arial"/>
          <w:color w:val="000000" w:themeColor="text1"/>
          <w:lang w:eastAsia="fr-FR"/>
        </w:rPr>
        <w:t xml:space="preserve"> </w:t>
      </w:r>
      <w:r w:rsidR="00191475" w:rsidRPr="002A025B">
        <w:rPr>
          <w:rFonts w:cs="Arial"/>
          <w:color w:val="000000" w:themeColor="text1"/>
          <w:lang w:eastAsia="fr-FR"/>
        </w:rPr>
        <w:t xml:space="preserve">la </w:t>
      </w:r>
      <w:r w:rsidR="0073697A" w:rsidRPr="002A025B">
        <w:rPr>
          <w:rFonts w:cs="Arial"/>
          <w:color w:val="000000" w:themeColor="text1"/>
          <w:lang w:eastAsia="fr-FR"/>
        </w:rPr>
        <w:t xml:space="preserve">dimension intime </w:t>
      </w:r>
      <w:r w:rsidR="00694904" w:rsidRPr="002A025B">
        <w:rPr>
          <w:rFonts w:cs="Arial"/>
          <w:color w:val="000000" w:themeColor="text1"/>
          <w:lang w:eastAsia="fr-FR"/>
        </w:rPr>
        <w:t xml:space="preserve">et singulière </w:t>
      </w:r>
      <w:r w:rsidR="0073697A" w:rsidRPr="002A025B">
        <w:rPr>
          <w:rFonts w:cs="Arial"/>
          <w:color w:val="000000" w:themeColor="text1"/>
          <w:lang w:eastAsia="fr-FR"/>
        </w:rPr>
        <w:t>de</w:t>
      </w:r>
      <w:r w:rsidR="000E5E22" w:rsidRPr="002A025B">
        <w:rPr>
          <w:rFonts w:cs="Arial"/>
          <w:color w:val="000000" w:themeColor="text1"/>
          <w:lang w:eastAsia="fr-FR"/>
        </w:rPr>
        <w:t xml:space="preserve"> la réception</w:t>
      </w:r>
      <w:r w:rsidR="0073697A" w:rsidRPr="002A025B">
        <w:rPr>
          <w:rFonts w:cs="Arial"/>
          <w:color w:val="000000" w:themeColor="text1"/>
          <w:lang w:eastAsia="fr-FR"/>
        </w:rPr>
        <w:t> rejoignant concrètement l’espace po</w:t>
      </w:r>
      <w:r w:rsidR="00D6722E" w:rsidRPr="002A025B">
        <w:rPr>
          <w:rFonts w:cs="Arial"/>
          <w:color w:val="000000" w:themeColor="text1"/>
          <w:lang w:eastAsia="fr-FR"/>
        </w:rPr>
        <w:t>litique et politisé de la cité</w:t>
      </w:r>
      <w:r w:rsidR="00FE09E7">
        <w:rPr>
          <w:rStyle w:val="Appelnotedebasdep"/>
          <w:rFonts w:cs="Arial"/>
          <w:color w:val="000000" w:themeColor="text1"/>
          <w:lang w:eastAsia="fr-FR"/>
        </w:rPr>
        <w:footnoteReference w:id="2"/>
      </w:r>
      <w:r w:rsidR="00D6722E" w:rsidRPr="002A025B">
        <w:rPr>
          <w:rFonts w:cs="Arial"/>
          <w:color w:val="000000" w:themeColor="text1"/>
          <w:lang w:eastAsia="fr-FR"/>
        </w:rPr>
        <w:t xml:space="preserve">. </w:t>
      </w:r>
    </w:p>
    <w:p w14:paraId="37189EB7" w14:textId="0A152EA3" w:rsidR="0092645C" w:rsidRPr="002A025B" w:rsidRDefault="00655339" w:rsidP="0092645C">
      <w:pPr>
        <w:rPr>
          <w:color w:val="000000" w:themeColor="text1"/>
          <w:szCs w:val="24"/>
          <w:lang w:eastAsia="fr-FR"/>
        </w:rPr>
      </w:pPr>
      <w:r w:rsidRPr="002A025B">
        <w:rPr>
          <w:rFonts w:cs="Arial"/>
          <w:color w:val="000000" w:themeColor="text1"/>
          <w:lang w:eastAsia="fr-FR"/>
        </w:rPr>
        <w:t>Ils</w:t>
      </w:r>
      <w:r w:rsidR="000A3411" w:rsidRPr="002A025B">
        <w:rPr>
          <w:rFonts w:cs="Arial"/>
          <w:color w:val="000000" w:themeColor="text1"/>
          <w:lang w:eastAsia="fr-FR"/>
        </w:rPr>
        <w:t xml:space="preserve"> </w:t>
      </w:r>
      <w:r w:rsidR="0073697A" w:rsidRPr="002A025B">
        <w:rPr>
          <w:rFonts w:cs="Arial"/>
          <w:color w:val="000000" w:themeColor="text1"/>
          <w:lang w:eastAsia="fr-FR"/>
        </w:rPr>
        <w:t>s’organisent</w:t>
      </w:r>
      <w:r w:rsidR="00050D5C" w:rsidRPr="002A025B">
        <w:rPr>
          <w:rFonts w:cs="Arial"/>
          <w:color w:val="000000" w:themeColor="text1"/>
          <w:lang w:eastAsia="fr-FR"/>
        </w:rPr>
        <w:t>, ensuite,</w:t>
      </w:r>
      <w:r w:rsidR="0073697A" w:rsidRPr="002A025B">
        <w:rPr>
          <w:rFonts w:cs="Arial"/>
          <w:color w:val="000000" w:themeColor="text1"/>
          <w:lang w:eastAsia="fr-FR"/>
        </w:rPr>
        <w:t xml:space="preserve"> selon une dualité spatiale fondatrice</w:t>
      </w:r>
      <w:r w:rsidR="008362CA" w:rsidRPr="002A025B">
        <w:rPr>
          <w:rFonts w:cs="Arial"/>
          <w:color w:val="000000" w:themeColor="text1"/>
          <w:lang w:eastAsia="fr-FR"/>
        </w:rPr>
        <w:t xml:space="preserve">, mettant en regard un espace </w:t>
      </w:r>
      <w:r w:rsidR="008362CA" w:rsidRPr="002A025B">
        <w:rPr>
          <w:rFonts w:cs="Arial"/>
          <w:i/>
          <w:color w:val="000000" w:themeColor="text1"/>
          <w:lang w:eastAsia="fr-FR"/>
        </w:rPr>
        <w:t>sujet</w:t>
      </w:r>
      <w:r w:rsidR="0073697A" w:rsidRPr="002A025B">
        <w:rPr>
          <w:rFonts w:cs="Arial"/>
          <w:color w:val="000000" w:themeColor="text1"/>
          <w:lang w:eastAsia="fr-FR"/>
        </w:rPr>
        <w:t xml:space="preserve"> de l’attention (la salle de spectacle, de lecture, </w:t>
      </w:r>
      <w:r w:rsidR="009D3DBC">
        <w:rPr>
          <w:rFonts w:cs="Arial"/>
          <w:color w:val="000000" w:themeColor="text1"/>
          <w:lang w:eastAsia="fr-FR"/>
        </w:rPr>
        <w:t>les travées, l</w:t>
      </w:r>
      <w:r w:rsidR="00ED40EC">
        <w:rPr>
          <w:rFonts w:cs="Arial"/>
          <w:color w:val="000000" w:themeColor="text1"/>
          <w:lang w:eastAsia="fr-FR"/>
        </w:rPr>
        <w:t>e lieu</w:t>
      </w:r>
      <w:r w:rsidR="0073697A" w:rsidRPr="002A025B">
        <w:rPr>
          <w:rFonts w:cs="Arial"/>
          <w:color w:val="000000" w:themeColor="text1"/>
          <w:lang w:eastAsia="fr-FR"/>
        </w:rPr>
        <w:t xml:space="preserve"> d’exposition</w:t>
      </w:r>
      <w:r w:rsidR="00ED40EC">
        <w:rPr>
          <w:rFonts w:cs="Arial"/>
          <w:color w:val="000000" w:themeColor="text1"/>
          <w:lang w:eastAsia="fr-FR"/>
        </w:rPr>
        <w:t>)</w:t>
      </w:r>
      <w:r w:rsidR="0073697A" w:rsidRPr="002A025B">
        <w:rPr>
          <w:rFonts w:cs="Arial"/>
          <w:color w:val="000000" w:themeColor="text1"/>
          <w:lang w:eastAsia="fr-FR"/>
        </w:rPr>
        <w:t xml:space="preserve">, dévolu à un des/public(s) (visiteurs, spectateurs, usagers), et un espace </w:t>
      </w:r>
      <w:r w:rsidR="0073697A" w:rsidRPr="002A025B">
        <w:rPr>
          <w:rFonts w:cs="Arial"/>
          <w:i/>
          <w:iCs/>
          <w:color w:val="000000" w:themeColor="text1"/>
          <w:lang w:eastAsia="fr-FR"/>
        </w:rPr>
        <w:t xml:space="preserve">objet </w:t>
      </w:r>
      <w:r w:rsidR="00D42D10" w:rsidRPr="002A025B">
        <w:rPr>
          <w:rFonts w:cs="Arial"/>
          <w:color w:val="000000" w:themeColor="text1"/>
          <w:lang w:eastAsia="fr-FR"/>
        </w:rPr>
        <w:t>de l’attention</w:t>
      </w:r>
      <w:r w:rsidR="0073697A" w:rsidRPr="002A025B">
        <w:rPr>
          <w:rFonts w:cs="Arial"/>
          <w:color w:val="000000" w:themeColor="text1"/>
          <w:lang w:eastAsia="fr-FR"/>
        </w:rPr>
        <w:t xml:space="preserve"> (la scène, la v</w:t>
      </w:r>
      <w:r w:rsidR="00743676" w:rsidRPr="002A025B">
        <w:rPr>
          <w:rFonts w:cs="Arial"/>
          <w:color w:val="000000" w:themeColor="text1"/>
          <w:lang w:eastAsia="fr-FR"/>
        </w:rPr>
        <w:t xml:space="preserve">itrine, </w:t>
      </w:r>
      <w:r w:rsidR="00D42D10" w:rsidRPr="00996F22">
        <w:rPr>
          <w:rFonts w:cs="Arial"/>
          <w:color w:val="000000" w:themeColor="text1"/>
          <w:lang w:eastAsia="fr-FR"/>
        </w:rPr>
        <w:t>le rayon</w:t>
      </w:r>
      <w:r w:rsidR="00D155EA" w:rsidRPr="00996F22">
        <w:rPr>
          <w:rFonts w:cs="Arial"/>
          <w:color w:val="000000" w:themeColor="text1"/>
          <w:lang w:eastAsia="fr-FR"/>
        </w:rPr>
        <w:t>nage</w:t>
      </w:r>
      <w:r w:rsidR="00BF0E30" w:rsidRPr="002A025B">
        <w:rPr>
          <w:rFonts w:cs="Arial"/>
          <w:color w:val="000000" w:themeColor="text1"/>
          <w:lang w:eastAsia="fr-FR"/>
        </w:rPr>
        <w:t xml:space="preserve">). </w:t>
      </w:r>
      <w:r w:rsidR="00F85010" w:rsidRPr="002A025B">
        <w:rPr>
          <w:rFonts w:cs="Arial"/>
          <w:color w:val="000000" w:themeColor="text1"/>
          <w:lang w:eastAsia="fr-FR"/>
        </w:rPr>
        <w:t xml:space="preserve">Ils </w:t>
      </w:r>
      <w:r w:rsidR="0073697A" w:rsidRPr="002A025B">
        <w:rPr>
          <w:rFonts w:cs="Arial"/>
          <w:color w:val="000000" w:themeColor="text1"/>
          <w:lang w:eastAsia="fr-FR"/>
        </w:rPr>
        <w:t xml:space="preserve">sont en effet caractérisés par des modes spécifiques de </w:t>
      </w:r>
      <w:r w:rsidR="008B58D7" w:rsidRPr="002A025B">
        <w:rPr>
          <w:rFonts w:cs="Arial"/>
          <w:i/>
          <w:color w:val="000000" w:themeColor="text1"/>
          <w:lang w:eastAsia="fr-FR"/>
        </w:rPr>
        <w:t xml:space="preserve">mise en </w:t>
      </w:r>
      <w:r w:rsidR="0073697A" w:rsidRPr="002A025B">
        <w:rPr>
          <w:rFonts w:cs="Arial"/>
          <w:i/>
          <w:color w:val="000000" w:themeColor="text1"/>
          <w:lang w:eastAsia="fr-FR"/>
        </w:rPr>
        <w:t>présence</w:t>
      </w:r>
      <w:r w:rsidR="0073697A" w:rsidRPr="002A025B">
        <w:rPr>
          <w:rFonts w:cs="Arial"/>
          <w:color w:val="000000" w:themeColor="text1"/>
          <w:lang w:eastAsia="fr-FR"/>
        </w:rPr>
        <w:t xml:space="preserve"> d’objets et de corps, selon une double logique qui subsiste même lorsque les dispositifs mis en œuvre s’évertuent à brouiller ou à fracturer les frontières. En cela, ils diffèrent d’autres lieux d’exercice de la pensée que sont, par exemple, l’école, l’université, l’entreprise, l’assemblée politique</w:t>
      </w:r>
      <w:r w:rsidR="00F85010" w:rsidRPr="002A025B">
        <w:rPr>
          <w:rFonts w:cs="Arial"/>
          <w:color w:val="000000" w:themeColor="text1"/>
          <w:lang w:eastAsia="fr-FR"/>
        </w:rPr>
        <w:t>, tout en présentant des similitudes avec d’autres espaces du sacré (la cathédrale ou le monastère).</w:t>
      </w:r>
      <w:r w:rsidR="00D6722E" w:rsidRPr="002A025B">
        <w:rPr>
          <w:color w:val="000000" w:themeColor="text1"/>
          <w:szCs w:val="24"/>
          <w:lang w:eastAsia="fr-FR"/>
        </w:rPr>
        <w:t xml:space="preserve"> </w:t>
      </w:r>
    </w:p>
    <w:p w14:paraId="177D0CC1" w14:textId="5F640B7B" w:rsidR="0073697A" w:rsidRPr="002A025B" w:rsidRDefault="0073697A" w:rsidP="0092645C">
      <w:pPr>
        <w:rPr>
          <w:color w:val="000000" w:themeColor="text1"/>
          <w:lang w:eastAsia="fr-FR"/>
        </w:rPr>
      </w:pPr>
      <w:r w:rsidRPr="002A025B">
        <w:rPr>
          <w:color w:val="000000" w:themeColor="text1"/>
          <w:lang w:eastAsia="fr-FR"/>
        </w:rPr>
        <w:t xml:space="preserve">Enfin, ces espaces tendent aujourd’hui à se rapprocher en de mêmes lieux, “tiers-lieux” dédiés à la pensée : lorsque l’exposition se rapproche de l’archive, que le musée s’ouvre à la </w:t>
      </w:r>
      <w:r w:rsidRPr="002A025B">
        <w:rPr>
          <w:color w:val="000000" w:themeColor="text1"/>
          <w:lang w:eastAsia="fr-FR"/>
        </w:rPr>
        <w:lastRenderedPageBreak/>
        <w:t>performance</w:t>
      </w:r>
      <w:r w:rsidR="00D42D10" w:rsidRPr="002A025B">
        <w:rPr>
          <w:color w:val="000000" w:themeColor="text1"/>
          <w:lang w:eastAsia="fr-FR"/>
        </w:rPr>
        <w:t xml:space="preserve">, </w:t>
      </w:r>
      <w:r w:rsidRPr="002A025B">
        <w:rPr>
          <w:color w:val="000000" w:themeColor="text1"/>
          <w:lang w:eastAsia="fr-FR"/>
        </w:rPr>
        <w:t>et que la scène se s</w:t>
      </w:r>
      <w:r w:rsidR="000E5E22" w:rsidRPr="002A025B">
        <w:rPr>
          <w:color w:val="000000" w:themeColor="text1"/>
          <w:lang w:eastAsia="fr-FR"/>
        </w:rPr>
        <w:t>oumet aux enjeux documentaires</w:t>
      </w:r>
      <w:r w:rsidR="00A9062F" w:rsidRPr="002A025B">
        <w:rPr>
          <w:color w:val="000000" w:themeColor="text1"/>
          <w:lang w:eastAsia="fr-FR"/>
        </w:rPr>
        <w:t xml:space="preserve">. </w:t>
      </w:r>
      <w:r w:rsidRPr="002A025B">
        <w:rPr>
          <w:color w:val="000000" w:themeColor="text1"/>
          <w:lang w:eastAsia="fr-FR"/>
        </w:rPr>
        <w:t xml:space="preserve">La réflexion </w:t>
      </w:r>
      <w:r w:rsidR="00E87F67">
        <w:rPr>
          <w:color w:val="000000" w:themeColor="text1"/>
          <w:lang w:eastAsia="fr-FR"/>
        </w:rPr>
        <w:t xml:space="preserve">y </w:t>
      </w:r>
      <w:r w:rsidRPr="002A025B">
        <w:rPr>
          <w:color w:val="000000" w:themeColor="text1"/>
          <w:lang w:eastAsia="fr-FR"/>
        </w:rPr>
        <w:t xml:space="preserve">passe par différents modes de perception, de création et d’appropriation </w:t>
      </w:r>
      <w:r w:rsidR="005537DF">
        <w:rPr>
          <w:color w:val="000000" w:themeColor="text1"/>
          <w:lang w:eastAsia="fr-FR"/>
        </w:rPr>
        <w:t xml:space="preserve">qui tendent à </w:t>
      </w:r>
      <w:r w:rsidR="00C838F6" w:rsidRPr="002A025B">
        <w:rPr>
          <w:color w:val="000000" w:themeColor="text1"/>
          <w:lang w:eastAsia="fr-FR"/>
        </w:rPr>
        <w:t>s</w:t>
      </w:r>
      <w:r w:rsidR="00E87F67">
        <w:rPr>
          <w:color w:val="000000" w:themeColor="text1"/>
          <w:lang w:eastAsia="fr-FR"/>
        </w:rPr>
        <w:t>e superposer</w:t>
      </w:r>
      <w:r w:rsidR="00C838F6" w:rsidRPr="002A025B">
        <w:rPr>
          <w:color w:val="000000" w:themeColor="text1"/>
          <w:lang w:eastAsia="fr-FR"/>
        </w:rPr>
        <w:t>,</w:t>
      </w:r>
      <w:r w:rsidR="00E95EF9" w:rsidRPr="002A025B">
        <w:rPr>
          <w:color w:val="000000" w:themeColor="text1"/>
          <w:lang w:eastAsia="fr-FR"/>
        </w:rPr>
        <w:t xml:space="preserve"> sans nécessairement se confondre</w:t>
      </w:r>
      <w:r w:rsidR="00C838F6" w:rsidRPr="002A025B">
        <w:rPr>
          <w:color w:val="000000" w:themeColor="text1"/>
          <w:lang w:eastAsia="fr-FR"/>
        </w:rPr>
        <w:t>,</w:t>
      </w:r>
      <w:r w:rsidRPr="002A025B">
        <w:rPr>
          <w:color w:val="000000" w:themeColor="text1"/>
          <w:lang w:eastAsia="fr-FR"/>
        </w:rPr>
        <w:t xml:space="preserve"> </w:t>
      </w:r>
      <w:r w:rsidR="002515C5" w:rsidRPr="002A025B">
        <w:rPr>
          <w:color w:val="000000" w:themeColor="text1"/>
          <w:lang w:eastAsia="fr-FR"/>
        </w:rPr>
        <w:t xml:space="preserve">dans des dispositifs </w:t>
      </w:r>
      <w:r w:rsidR="00E02AC0" w:rsidRPr="002A025B">
        <w:rPr>
          <w:color w:val="000000" w:themeColor="text1"/>
          <w:lang w:eastAsia="fr-FR"/>
        </w:rPr>
        <w:t xml:space="preserve">de plus en plus hybrides. </w:t>
      </w:r>
    </w:p>
    <w:p w14:paraId="5252A476" w14:textId="77777777" w:rsidR="0092645C" w:rsidRPr="002A025B" w:rsidRDefault="0092645C" w:rsidP="0092645C">
      <w:pPr>
        <w:rPr>
          <w:color w:val="000000" w:themeColor="text1"/>
          <w:szCs w:val="24"/>
          <w:lang w:eastAsia="fr-FR"/>
        </w:rPr>
      </w:pPr>
    </w:p>
    <w:p w14:paraId="14267DB3" w14:textId="77777777" w:rsidR="00C8719E" w:rsidRPr="002A025B" w:rsidRDefault="0092510C" w:rsidP="000E2100">
      <w:pPr>
        <w:rPr>
          <w:color w:val="000000" w:themeColor="text1"/>
          <w:szCs w:val="24"/>
          <w:lang w:eastAsia="fr-FR"/>
        </w:rPr>
      </w:pPr>
      <w:r w:rsidRPr="002A025B">
        <w:rPr>
          <w:color w:val="000000" w:themeColor="text1"/>
          <w:szCs w:val="24"/>
          <w:lang w:eastAsia="fr-FR"/>
        </w:rPr>
        <w:t xml:space="preserve">De ce fait, il nous semble pertinent de définir la tâche qui nous attend selon plusieurs perspectives, </w:t>
      </w:r>
      <w:r w:rsidR="004E4764" w:rsidRPr="002A025B">
        <w:rPr>
          <w:color w:val="000000" w:themeColor="text1"/>
          <w:szCs w:val="24"/>
          <w:lang w:eastAsia="fr-FR"/>
        </w:rPr>
        <w:t>conco</w:t>
      </w:r>
      <w:r w:rsidR="00ED484B" w:rsidRPr="002A025B">
        <w:rPr>
          <w:color w:val="000000" w:themeColor="text1"/>
          <w:szCs w:val="24"/>
          <w:lang w:eastAsia="fr-FR"/>
        </w:rPr>
        <w:t>mitantes</w:t>
      </w:r>
      <w:r w:rsidR="00065CDA" w:rsidRPr="002A025B">
        <w:rPr>
          <w:color w:val="000000" w:themeColor="text1"/>
          <w:szCs w:val="24"/>
          <w:lang w:eastAsia="fr-FR"/>
        </w:rPr>
        <w:t xml:space="preserve">.  </w:t>
      </w:r>
    </w:p>
    <w:p w14:paraId="4BAA7F07" w14:textId="598E4D83" w:rsidR="00C82950" w:rsidRDefault="00065CDA" w:rsidP="009B6D02">
      <w:pPr>
        <w:rPr>
          <w:rFonts w:cs="Arial"/>
          <w:color w:val="000000" w:themeColor="text1"/>
          <w:lang w:eastAsia="fr-FR"/>
        </w:rPr>
      </w:pPr>
      <w:r w:rsidRPr="002A025B">
        <w:rPr>
          <w:color w:val="000000" w:themeColor="text1"/>
          <w:szCs w:val="24"/>
          <w:lang w:eastAsia="fr-FR"/>
        </w:rPr>
        <w:t>E</w:t>
      </w:r>
      <w:r w:rsidR="00ED484B" w:rsidRPr="002A025B">
        <w:rPr>
          <w:color w:val="000000" w:themeColor="text1"/>
          <w:szCs w:val="24"/>
          <w:lang w:eastAsia="fr-FR"/>
        </w:rPr>
        <w:t>n premier lieu, il s’agira d</w:t>
      </w:r>
      <w:r w:rsidR="00286F77">
        <w:rPr>
          <w:color w:val="000000" w:themeColor="text1"/>
          <w:szCs w:val="24"/>
          <w:lang w:eastAsia="fr-FR"/>
        </w:rPr>
        <w:t xml:space="preserve">e </w:t>
      </w:r>
      <w:r w:rsidR="00286F77" w:rsidRPr="002366E0">
        <w:rPr>
          <w:i/>
          <w:color w:val="000000" w:themeColor="text1"/>
          <w:szCs w:val="24"/>
          <w:lang w:eastAsia="fr-FR"/>
        </w:rPr>
        <w:t>réexaminer</w:t>
      </w:r>
      <w:r w:rsidR="00723FE7" w:rsidRPr="002366E0">
        <w:rPr>
          <w:i/>
          <w:color w:val="000000" w:themeColor="text1"/>
          <w:szCs w:val="24"/>
          <w:lang w:eastAsia="fr-FR"/>
        </w:rPr>
        <w:t xml:space="preserve"> les </w:t>
      </w:r>
      <w:r w:rsidR="00B66E35" w:rsidRPr="002366E0">
        <w:rPr>
          <w:i/>
          <w:color w:val="000000" w:themeColor="text1"/>
          <w:szCs w:val="24"/>
          <w:lang w:eastAsia="fr-FR"/>
        </w:rPr>
        <w:t xml:space="preserve">terminologies, </w:t>
      </w:r>
      <w:r w:rsidR="00723FE7" w:rsidRPr="002366E0">
        <w:rPr>
          <w:i/>
          <w:color w:val="000000" w:themeColor="text1"/>
          <w:szCs w:val="24"/>
          <w:lang w:eastAsia="fr-FR"/>
        </w:rPr>
        <w:t xml:space="preserve">notions </w:t>
      </w:r>
      <w:r w:rsidR="00A9062F" w:rsidRPr="002366E0">
        <w:rPr>
          <w:i/>
          <w:color w:val="000000" w:themeColor="text1"/>
          <w:szCs w:val="24"/>
          <w:lang w:eastAsia="fr-FR"/>
        </w:rPr>
        <w:t xml:space="preserve">et </w:t>
      </w:r>
      <w:r w:rsidR="00723FE7" w:rsidRPr="002366E0">
        <w:rPr>
          <w:i/>
          <w:color w:val="000000" w:themeColor="text1"/>
          <w:szCs w:val="24"/>
          <w:lang w:eastAsia="fr-FR"/>
        </w:rPr>
        <w:t>concepts</w:t>
      </w:r>
      <w:r w:rsidR="00723FE7" w:rsidRPr="002A025B">
        <w:rPr>
          <w:color w:val="000000" w:themeColor="text1"/>
          <w:szCs w:val="24"/>
          <w:lang w:eastAsia="fr-FR"/>
        </w:rPr>
        <w:t xml:space="preserve"> utilisés dans les différents champs (</w:t>
      </w:r>
      <w:r w:rsidR="00723FE7" w:rsidRPr="002A025B">
        <w:rPr>
          <w:rFonts w:cs="Arial"/>
          <w:color w:val="000000" w:themeColor="text1"/>
          <w:lang w:eastAsia="fr-FR"/>
        </w:rPr>
        <w:t>philosophie de la scène, archivistique, muséologie, bibliothéconomie…) à la lumière des autres champs, et d’</w:t>
      </w:r>
      <w:r w:rsidR="00ED484B" w:rsidRPr="002A025B">
        <w:rPr>
          <w:color w:val="000000" w:themeColor="text1"/>
          <w:szCs w:val="24"/>
          <w:lang w:eastAsia="fr-FR"/>
        </w:rPr>
        <w:t>an</w:t>
      </w:r>
      <w:r w:rsidR="0044270C" w:rsidRPr="002A025B">
        <w:rPr>
          <w:color w:val="000000" w:themeColor="text1"/>
          <w:szCs w:val="24"/>
          <w:lang w:eastAsia="fr-FR"/>
        </w:rPr>
        <w:t xml:space="preserve">alyser </w:t>
      </w:r>
      <w:r w:rsidR="001370E7" w:rsidRPr="002A025B">
        <w:rPr>
          <w:rFonts w:cs="Arial"/>
          <w:color w:val="000000" w:themeColor="text1"/>
          <w:lang w:eastAsia="fr-FR"/>
        </w:rPr>
        <w:t xml:space="preserve">les </w:t>
      </w:r>
      <w:r w:rsidR="008879E9" w:rsidRPr="002366E0">
        <w:rPr>
          <w:rFonts w:cs="Arial"/>
          <w:i/>
          <w:color w:val="000000" w:themeColor="text1"/>
          <w:lang w:eastAsia="fr-FR"/>
        </w:rPr>
        <w:t>enjeux de l</w:t>
      </w:r>
      <w:r w:rsidR="00723FE7" w:rsidRPr="002366E0">
        <w:rPr>
          <w:rFonts w:cs="Arial"/>
          <w:i/>
          <w:color w:val="000000" w:themeColor="text1"/>
          <w:lang w:eastAsia="fr-FR"/>
        </w:rPr>
        <w:t>eur</w:t>
      </w:r>
      <w:r w:rsidR="0073697A" w:rsidRPr="002366E0">
        <w:rPr>
          <w:rFonts w:cs="Arial"/>
          <w:i/>
          <w:color w:val="000000" w:themeColor="text1"/>
          <w:lang w:eastAsia="fr-FR"/>
        </w:rPr>
        <w:t xml:space="preserve"> migration</w:t>
      </w:r>
      <w:r w:rsidR="00723FE7" w:rsidRPr="002A025B">
        <w:rPr>
          <w:rFonts w:cs="Arial"/>
          <w:color w:val="000000" w:themeColor="text1"/>
          <w:lang w:eastAsia="fr-FR"/>
        </w:rPr>
        <w:t xml:space="preserve"> </w:t>
      </w:r>
      <w:r w:rsidR="005537DF">
        <w:rPr>
          <w:rFonts w:cs="Arial"/>
          <w:color w:val="000000" w:themeColor="text1"/>
          <w:lang w:eastAsia="fr-FR"/>
        </w:rPr>
        <w:t>de l’un</w:t>
      </w:r>
      <w:r w:rsidR="00E03404" w:rsidRPr="002A025B">
        <w:rPr>
          <w:rFonts w:cs="Arial"/>
          <w:color w:val="000000" w:themeColor="text1"/>
          <w:lang w:eastAsia="fr-FR"/>
        </w:rPr>
        <w:t xml:space="preserve"> à l’autre</w:t>
      </w:r>
      <w:r w:rsidR="006242AF">
        <w:rPr>
          <w:rFonts w:cs="Arial"/>
          <w:color w:val="000000" w:themeColor="text1"/>
          <w:lang w:eastAsia="fr-FR"/>
        </w:rPr>
        <w:t> : ainsi du</w:t>
      </w:r>
      <w:r w:rsidR="00723FE7" w:rsidRPr="002A025B">
        <w:rPr>
          <w:rFonts w:cs="Arial"/>
          <w:color w:val="000000" w:themeColor="text1"/>
          <w:lang w:eastAsia="fr-FR"/>
        </w:rPr>
        <w:t xml:space="preserve"> « forum », ou de </w:t>
      </w:r>
      <w:r w:rsidR="006242AF">
        <w:rPr>
          <w:rFonts w:cs="Arial"/>
          <w:color w:val="000000" w:themeColor="text1"/>
          <w:lang w:eastAsia="fr-FR"/>
        </w:rPr>
        <w:t xml:space="preserve">la </w:t>
      </w:r>
      <w:r w:rsidR="00125144">
        <w:rPr>
          <w:rFonts w:cs="Arial"/>
          <w:color w:val="000000" w:themeColor="text1"/>
          <w:lang w:eastAsia="fr-FR"/>
        </w:rPr>
        <w:t>« dramaturgie », par exemple</w:t>
      </w:r>
      <w:r w:rsidR="00FB1446">
        <w:rPr>
          <w:rFonts w:cs="Arial"/>
          <w:color w:val="000000" w:themeColor="text1"/>
          <w:lang w:eastAsia="fr-FR"/>
        </w:rPr>
        <w:t xml:space="preserve">. </w:t>
      </w:r>
      <w:r w:rsidR="00A4202B" w:rsidRPr="002A025B">
        <w:rPr>
          <w:rFonts w:cs="Arial"/>
          <w:color w:val="000000" w:themeColor="text1"/>
          <w:lang w:eastAsia="fr-FR"/>
        </w:rPr>
        <w:t>On</w:t>
      </w:r>
      <w:r w:rsidRPr="002A025B">
        <w:rPr>
          <w:rFonts w:cs="Arial"/>
          <w:color w:val="000000" w:themeColor="text1"/>
          <w:lang w:eastAsia="fr-FR"/>
        </w:rPr>
        <w:t xml:space="preserve"> pourra </w:t>
      </w:r>
      <w:r w:rsidR="00A4202B" w:rsidRPr="002A025B">
        <w:rPr>
          <w:rFonts w:cs="Arial"/>
          <w:color w:val="000000" w:themeColor="text1"/>
          <w:lang w:eastAsia="fr-FR"/>
        </w:rPr>
        <w:t xml:space="preserve">également </w:t>
      </w:r>
      <w:r w:rsidRPr="002A025B">
        <w:rPr>
          <w:rFonts w:cs="Arial"/>
          <w:color w:val="000000" w:themeColor="text1"/>
          <w:lang w:eastAsia="fr-FR"/>
        </w:rPr>
        <w:t>o</w:t>
      </w:r>
      <w:r w:rsidR="00C82950" w:rsidRPr="002A025B">
        <w:rPr>
          <w:rFonts w:cs="Arial"/>
          <w:color w:val="000000" w:themeColor="text1"/>
          <w:lang w:eastAsia="fr-FR"/>
        </w:rPr>
        <w:t xml:space="preserve">bserver et analyser, dans ce contexte, </w:t>
      </w:r>
      <w:r w:rsidR="006242AF">
        <w:rPr>
          <w:rFonts w:cs="Arial"/>
          <w:color w:val="000000" w:themeColor="text1"/>
          <w:lang w:eastAsia="fr-FR"/>
        </w:rPr>
        <w:t xml:space="preserve">les </w:t>
      </w:r>
      <w:r w:rsidR="00C82950" w:rsidRPr="002A025B">
        <w:rPr>
          <w:rFonts w:cs="Arial"/>
          <w:color w:val="000000" w:themeColor="text1"/>
          <w:lang w:eastAsia="fr-FR"/>
        </w:rPr>
        <w:t>flux de per</w:t>
      </w:r>
      <w:r w:rsidR="004F6D1D" w:rsidRPr="002A025B">
        <w:rPr>
          <w:rFonts w:cs="Arial"/>
          <w:color w:val="000000" w:themeColor="text1"/>
          <w:lang w:eastAsia="fr-FR"/>
        </w:rPr>
        <w:t>sonnes, d’objets et de pensées,</w:t>
      </w:r>
      <w:r w:rsidR="006757F3" w:rsidRPr="002A025B">
        <w:rPr>
          <w:rFonts w:cs="Arial"/>
          <w:color w:val="000000" w:themeColor="text1"/>
          <w:lang w:eastAsia="fr-FR"/>
        </w:rPr>
        <w:t xml:space="preserve"> ainsi que les résistances</w:t>
      </w:r>
      <w:r w:rsidR="005537DF">
        <w:rPr>
          <w:rFonts w:cs="Arial"/>
          <w:color w:val="000000" w:themeColor="text1"/>
          <w:lang w:eastAsia="fr-FR"/>
        </w:rPr>
        <w:t xml:space="preserve"> que cela suscite</w:t>
      </w:r>
      <w:r w:rsidR="006757F3" w:rsidRPr="002A025B">
        <w:rPr>
          <w:rFonts w:cs="Arial"/>
          <w:color w:val="000000" w:themeColor="text1"/>
          <w:lang w:eastAsia="fr-FR"/>
        </w:rPr>
        <w:t xml:space="preserve">. </w:t>
      </w:r>
    </w:p>
    <w:p w14:paraId="7AB9435F" w14:textId="56B29FEE" w:rsidR="001F0ACA" w:rsidRPr="002A025B" w:rsidRDefault="00817FAD" w:rsidP="006757F3">
      <w:pPr>
        <w:rPr>
          <w:rFonts w:cs="Arial"/>
          <w:color w:val="000000" w:themeColor="text1"/>
          <w:lang w:eastAsia="fr-FR"/>
        </w:rPr>
      </w:pPr>
      <w:r w:rsidRPr="002A025B">
        <w:rPr>
          <w:rFonts w:cs="Arial"/>
          <w:color w:val="000000" w:themeColor="text1"/>
          <w:lang w:eastAsia="fr-FR"/>
        </w:rPr>
        <w:t>Un second chantier de réflexion s’attacher</w:t>
      </w:r>
      <w:r w:rsidR="00A3569C">
        <w:rPr>
          <w:rFonts w:cs="Arial"/>
          <w:color w:val="000000" w:themeColor="text1"/>
          <w:lang w:eastAsia="fr-FR"/>
        </w:rPr>
        <w:t>a</w:t>
      </w:r>
      <w:r w:rsidRPr="002A025B">
        <w:rPr>
          <w:rFonts w:cs="Arial"/>
          <w:color w:val="000000" w:themeColor="text1"/>
          <w:lang w:eastAsia="fr-FR"/>
        </w:rPr>
        <w:t xml:space="preserve"> à </w:t>
      </w:r>
      <w:r w:rsidR="007F0453" w:rsidRPr="002A025B">
        <w:rPr>
          <w:rFonts w:cs="Arial"/>
          <w:color w:val="000000" w:themeColor="text1"/>
          <w:lang w:eastAsia="fr-FR"/>
        </w:rPr>
        <w:t xml:space="preserve">formuler un </w:t>
      </w:r>
      <w:r w:rsidR="007F0453" w:rsidRPr="002A025B">
        <w:rPr>
          <w:rFonts w:cs="Arial"/>
          <w:i/>
          <w:color w:val="000000" w:themeColor="text1"/>
          <w:lang w:eastAsia="fr-FR"/>
        </w:rPr>
        <w:t>modèle d’analyse commun</w:t>
      </w:r>
      <w:r w:rsidR="007F0453">
        <w:rPr>
          <w:rFonts w:cs="Arial"/>
          <w:color w:val="000000" w:themeColor="text1"/>
          <w:lang w:eastAsia="fr-FR"/>
        </w:rPr>
        <w:t xml:space="preserve"> à ces différents espaces, et à </w:t>
      </w:r>
      <w:r w:rsidRPr="002A025B">
        <w:rPr>
          <w:rFonts w:cs="Arial"/>
          <w:color w:val="000000" w:themeColor="text1"/>
          <w:lang w:eastAsia="fr-FR"/>
        </w:rPr>
        <w:t xml:space="preserve">déterminer les </w:t>
      </w:r>
      <w:r w:rsidRPr="002A025B">
        <w:rPr>
          <w:rFonts w:cs="Arial"/>
          <w:i/>
          <w:iCs/>
          <w:color w:val="000000" w:themeColor="text1"/>
          <w:lang w:eastAsia="fr-FR"/>
        </w:rPr>
        <w:t>conditions optimales de mises en mouvement de la pensée</w:t>
      </w:r>
      <w:r w:rsidRPr="002A025B">
        <w:rPr>
          <w:rFonts w:cs="Arial"/>
          <w:color w:val="000000" w:themeColor="text1"/>
          <w:lang w:eastAsia="fr-FR"/>
        </w:rPr>
        <w:t xml:space="preserve"> dans l’espace, commune</w:t>
      </w:r>
      <w:r w:rsidR="00C2354E">
        <w:rPr>
          <w:rFonts w:cs="Arial"/>
          <w:color w:val="000000" w:themeColor="text1"/>
          <w:lang w:eastAsia="fr-FR"/>
        </w:rPr>
        <w:t>s</w:t>
      </w:r>
      <w:r w:rsidRPr="002A025B">
        <w:rPr>
          <w:rFonts w:cs="Arial"/>
          <w:color w:val="000000" w:themeColor="text1"/>
          <w:lang w:eastAsia="fr-FR"/>
        </w:rPr>
        <w:t xml:space="preserve"> aux différents lieux, et/ou spécifique</w:t>
      </w:r>
      <w:r w:rsidR="00C2354E">
        <w:rPr>
          <w:rFonts w:cs="Arial"/>
          <w:color w:val="000000" w:themeColor="text1"/>
          <w:lang w:eastAsia="fr-FR"/>
        </w:rPr>
        <w:t>s</w:t>
      </w:r>
      <w:r w:rsidRPr="002A025B">
        <w:rPr>
          <w:rFonts w:cs="Arial"/>
          <w:color w:val="000000" w:themeColor="text1"/>
          <w:lang w:eastAsia="fr-FR"/>
        </w:rPr>
        <w:t xml:space="preserve"> à chacun.</w:t>
      </w:r>
    </w:p>
    <w:p w14:paraId="0997AF6D" w14:textId="690F2FE6" w:rsidR="00AA4DA6" w:rsidRPr="002A025B" w:rsidRDefault="00AA4DA6" w:rsidP="0092645C">
      <w:pPr>
        <w:rPr>
          <w:rFonts w:cs="Arial"/>
          <w:color w:val="000000" w:themeColor="text1"/>
          <w:lang w:eastAsia="fr-FR"/>
        </w:rPr>
      </w:pPr>
      <w:r w:rsidRPr="002A025B">
        <w:rPr>
          <w:rFonts w:cs="Arial"/>
          <w:color w:val="000000" w:themeColor="text1"/>
          <w:lang w:eastAsia="fr-FR"/>
        </w:rPr>
        <w:t>Il s’agira, en</w:t>
      </w:r>
      <w:r w:rsidR="001F0ACA" w:rsidRPr="002A025B">
        <w:rPr>
          <w:rFonts w:cs="Arial"/>
          <w:color w:val="000000" w:themeColor="text1"/>
          <w:lang w:eastAsia="fr-FR"/>
        </w:rPr>
        <w:t>fin</w:t>
      </w:r>
      <w:r w:rsidRPr="002A025B">
        <w:rPr>
          <w:rFonts w:cs="Arial"/>
          <w:color w:val="000000" w:themeColor="text1"/>
          <w:lang w:eastAsia="fr-FR"/>
        </w:rPr>
        <w:t>,</w:t>
      </w:r>
      <w:r w:rsidR="002957A7">
        <w:rPr>
          <w:rFonts w:cs="Arial"/>
          <w:color w:val="000000" w:themeColor="text1"/>
          <w:lang w:eastAsia="fr-FR"/>
        </w:rPr>
        <w:t xml:space="preserve"> de s’essayer, </w:t>
      </w:r>
      <w:r w:rsidRPr="002A025B">
        <w:rPr>
          <w:rFonts w:cs="Arial"/>
          <w:color w:val="000000" w:themeColor="text1"/>
          <w:lang w:eastAsia="fr-FR"/>
        </w:rPr>
        <w:t>à partir d’une p</w:t>
      </w:r>
      <w:r w:rsidR="00D155EA">
        <w:rPr>
          <w:rFonts w:cs="Arial"/>
          <w:color w:val="000000" w:themeColor="text1"/>
          <w:lang w:eastAsia="fr-FR"/>
        </w:rPr>
        <w:t xml:space="preserve">erspective </w:t>
      </w:r>
      <w:bookmarkStart w:id="0" w:name="_GoBack"/>
      <w:bookmarkEnd w:id="0"/>
      <w:r w:rsidR="00D155EA">
        <w:rPr>
          <w:rFonts w:cs="Arial"/>
          <w:color w:val="000000" w:themeColor="text1"/>
          <w:lang w:eastAsia="fr-FR"/>
        </w:rPr>
        <w:t xml:space="preserve">plus vaste (urbaine, </w:t>
      </w:r>
      <w:r w:rsidRPr="002A025B">
        <w:rPr>
          <w:rFonts w:cs="Arial"/>
          <w:color w:val="000000" w:themeColor="text1"/>
          <w:lang w:eastAsia="fr-FR"/>
        </w:rPr>
        <w:t>territoriale),</w:t>
      </w:r>
      <w:r w:rsidR="00EB3D24">
        <w:rPr>
          <w:rFonts w:cs="Arial"/>
          <w:color w:val="000000" w:themeColor="text1"/>
          <w:lang w:eastAsia="fr-FR"/>
        </w:rPr>
        <w:t xml:space="preserve"> </w:t>
      </w:r>
      <w:r w:rsidR="002957A7">
        <w:rPr>
          <w:rFonts w:cs="Arial"/>
          <w:color w:val="000000" w:themeColor="text1"/>
          <w:lang w:eastAsia="fr-FR"/>
        </w:rPr>
        <w:t xml:space="preserve">à une </w:t>
      </w:r>
      <w:r w:rsidR="007523E7" w:rsidRPr="00A3569C">
        <w:rPr>
          <w:rFonts w:cs="Arial"/>
          <w:i/>
          <w:color w:val="000000" w:themeColor="text1"/>
          <w:lang w:eastAsia="fr-FR"/>
        </w:rPr>
        <w:t>to</w:t>
      </w:r>
      <w:r w:rsidR="00EB3D24" w:rsidRPr="00A3569C">
        <w:rPr>
          <w:rFonts w:cs="Arial"/>
          <w:i/>
          <w:color w:val="000000" w:themeColor="text1"/>
          <w:lang w:eastAsia="fr-FR"/>
        </w:rPr>
        <w:t>pologie des</w:t>
      </w:r>
      <w:r w:rsidRPr="00A3569C">
        <w:rPr>
          <w:rFonts w:cs="Arial"/>
          <w:i/>
          <w:color w:val="000000" w:themeColor="text1"/>
          <w:lang w:eastAsia="fr-FR"/>
        </w:rPr>
        <w:t> modalité</w:t>
      </w:r>
      <w:r w:rsidR="00386D9D" w:rsidRPr="00A3569C">
        <w:rPr>
          <w:rFonts w:cs="Arial"/>
          <w:i/>
          <w:color w:val="000000" w:themeColor="text1"/>
          <w:lang w:eastAsia="fr-FR"/>
        </w:rPr>
        <w:t>s</w:t>
      </w:r>
      <w:r w:rsidR="00EB3D24" w:rsidRPr="00A3569C">
        <w:rPr>
          <w:rFonts w:cs="Arial"/>
          <w:i/>
          <w:color w:val="000000" w:themeColor="text1"/>
          <w:lang w:eastAsia="fr-FR"/>
        </w:rPr>
        <w:t xml:space="preserve"> d’exercice de la pensée</w:t>
      </w:r>
      <w:r w:rsidR="007523E7" w:rsidRPr="002A025B">
        <w:rPr>
          <w:rFonts w:cs="Arial"/>
          <w:color w:val="000000" w:themeColor="text1"/>
          <w:lang w:eastAsia="fr-FR"/>
        </w:rPr>
        <w:t> ; et, le cas échéant</w:t>
      </w:r>
      <w:r w:rsidR="002515C5" w:rsidRPr="002A025B">
        <w:rPr>
          <w:rFonts w:cs="Arial"/>
          <w:color w:val="000000" w:themeColor="text1"/>
          <w:lang w:eastAsia="fr-FR"/>
        </w:rPr>
        <w:t> :</w:t>
      </w:r>
      <w:r w:rsidRPr="002A025B">
        <w:rPr>
          <w:rFonts w:cs="Arial"/>
          <w:color w:val="000000" w:themeColor="text1"/>
          <w:lang w:eastAsia="fr-FR"/>
        </w:rPr>
        <w:t xml:space="preserve"> quel effet produi</w:t>
      </w:r>
      <w:r w:rsidR="00A1534E">
        <w:rPr>
          <w:rFonts w:cs="Arial"/>
          <w:color w:val="000000" w:themeColor="text1"/>
          <w:lang w:eastAsia="fr-FR"/>
        </w:rPr>
        <w:t>rai</w:t>
      </w:r>
      <w:r w:rsidRPr="002A025B">
        <w:rPr>
          <w:rFonts w:cs="Arial"/>
          <w:color w:val="000000" w:themeColor="text1"/>
          <w:lang w:eastAsia="fr-FR"/>
        </w:rPr>
        <w:t>t une telle cartographie, à quelles str</w:t>
      </w:r>
      <w:r w:rsidR="00A1534E">
        <w:rPr>
          <w:rFonts w:cs="Arial"/>
          <w:color w:val="000000" w:themeColor="text1"/>
          <w:lang w:eastAsia="fr-FR"/>
        </w:rPr>
        <w:t>atégies, à quels besoins répondrait-</w:t>
      </w:r>
      <w:r w:rsidRPr="002A025B">
        <w:rPr>
          <w:rFonts w:cs="Arial"/>
          <w:color w:val="000000" w:themeColor="text1"/>
          <w:lang w:eastAsia="fr-FR"/>
        </w:rPr>
        <w:t xml:space="preserve">elle ? </w:t>
      </w:r>
    </w:p>
    <w:p w14:paraId="477C35CF" w14:textId="77777777" w:rsidR="0092645C" w:rsidRPr="002A025B" w:rsidRDefault="0092645C" w:rsidP="0092645C">
      <w:pPr>
        <w:rPr>
          <w:rFonts w:cs="Arial"/>
          <w:color w:val="000000" w:themeColor="text1"/>
          <w:lang w:eastAsia="fr-FR"/>
        </w:rPr>
      </w:pPr>
    </w:p>
    <w:p w14:paraId="59AD0BAF" w14:textId="77777777" w:rsidR="002366E0" w:rsidRDefault="000C0488" w:rsidP="0092645C">
      <w:pPr>
        <w:rPr>
          <w:rFonts w:cs="Arial"/>
          <w:color w:val="000000" w:themeColor="text1"/>
          <w:szCs w:val="24"/>
          <w:lang w:eastAsia="fr-FR"/>
        </w:rPr>
      </w:pPr>
      <w:r w:rsidRPr="002A025B">
        <w:rPr>
          <w:rFonts w:cs="Arial"/>
          <w:color w:val="000000" w:themeColor="text1"/>
          <w:szCs w:val="24"/>
          <w:lang w:eastAsia="fr-FR"/>
        </w:rPr>
        <w:t>La</w:t>
      </w:r>
      <w:r w:rsidR="009A3134" w:rsidRPr="002A025B">
        <w:rPr>
          <w:rFonts w:cs="Arial"/>
          <w:color w:val="000000" w:themeColor="text1"/>
          <w:szCs w:val="24"/>
          <w:lang w:eastAsia="fr-FR"/>
        </w:rPr>
        <w:t xml:space="preserve"> </w:t>
      </w:r>
      <w:r w:rsidRPr="002A025B">
        <w:rPr>
          <w:rFonts w:cs="Arial"/>
          <w:color w:val="000000" w:themeColor="text1"/>
          <w:szCs w:val="24"/>
          <w:lang w:eastAsia="fr-FR"/>
        </w:rPr>
        <w:t>première session</w:t>
      </w:r>
      <w:r w:rsidR="002C6ACB" w:rsidRPr="002A025B">
        <w:rPr>
          <w:rFonts w:cs="Arial"/>
          <w:color w:val="000000" w:themeColor="text1"/>
          <w:szCs w:val="24"/>
          <w:lang w:eastAsia="fr-FR"/>
        </w:rPr>
        <w:t>,</w:t>
      </w:r>
      <w:r w:rsidR="009A3134" w:rsidRPr="002A025B">
        <w:rPr>
          <w:rFonts w:cs="Arial"/>
          <w:color w:val="000000" w:themeColor="text1"/>
          <w:szCs w:val="24"/>
          <w:lang w:eastAsia="fr-FR"/>
        </w:rPr>
        <w:t xml:space="preserve"> qui se tiendra </w:t>
      </w:r>
      <w:r w:rsidR="003F0CAF">
        <w:rPr>
          <w:rFonts w:cs="Arial"/>
          <w:color w:val="000000" w:themeColor="text1"/>
          <w:szCs w:val="24"/>
          <w:lang w:eastAsia="fr-FR"/>
        </w:rPr>
        <w:t xml:space="preserve">le </w:t>
      </w:r>
      <w:r w:rsidR="003F0CAF" w:rsidRPr="002366E0">
        <w:rPr>
          <w:rFonts w:cs="Arial"/>
          <w:b/>
          <w:color w:val="000000" w:themeColor="text1"/>
          <w:szCs w:val="24"/>
          <w:lang w:eastAsia="fr-FR"/>
        </w:rPr>
        <w:t xml:space="preserve">19 mai 2017 </w:t>
      </w:r>
      <w:r w:rsidR="009A3134" w:rsidRPr="002366E0">
        <w:rPr>
          <w:rFonts w:cs="Arial"/>
          <w:b/>
          <w:color w:val="000000" w:themeColor="text1"/>
          <w:szCs w:val="24"/>
          <w:lang w:eastAsia="fr-FR"/>
        </w:rPr>
        <w:t>à l’Unive</w:t>
      </w:r>
      <w:r w:rsidR="003F0CAF" w:rsidRPr="002366E0">
        <w:rPr>
          <w:rFonts w:cs="Arial"/>
          <w:b/>
          <w:color w:val="000000" w:themeColor="text1"/>
          <w:szCs w:val="24"/>
          <w:lang w:eastAsia="fr-FR"/>
        </w:rPr>
        <w:t>rsité Sorbonne Nouvelle – Paris </w:t>
      </w:r>
      <w:r w:rsidR="009A3134" w:rsidRPr="002366E0">
        <w:rPr>
          <w:rFonts w:cs="Arial"/>
          <w:b/>
          <w:color w:val="000000" w:themeColor="text1"/>
          <w:szCs w:val="24"/>
          <w:lang w:eastAsia="fr-FR"/>
        </w:rPr>
        <w:t>3</w:t>
      </w:r>
      <w:r w:rsidR="009A3134" w:rsidRPr="002A025B">
        <w:rPr>
          <w:rFonts w:cs="Arial"/>
          <w:color w:val="000000" w:themeColor="text1"/>
          <w:szCs w:val="24"/>
          <w:lang w:eastAsia="fr-FR"/>
        </w:rPr>
        <w:t xml:space="preserve"> </w:t>
      </w:r>
      <w:r w:rsidR="00664250" w:rsidRPr="002A025B">
        <w:rPr>
          <w:rFonts w:cs="Arial"/>
          <w:color w:val="000000" w:themeColor="text1"/>
          <w:szCs w:val="24"/>
          <w:lang w:eastAsia="fr-FR"/>
        </w:rPr>
        <w:t>cherchera à discuter les termes d</w:t>
      </w:r>
      <w:r w:rsidR="001B3DAB" w:rsidRPr="002A025B">
        <w:rPr>
          <w:rFonts w:cs="Arial"/>
          <w:color w:val="000000" w:themeColor="text1"/>
          <w:szCs w:val="24"/>
          <w:lang w:eastAsia="fr-FR"/>
        </w:rPr>
        <w:t>e la prop</w:t>
      </w:r>
      <w:r w:rsidR="002A025B">
        <w:rPr>
          <w:rFonts w:cs="Arial"/>
          <w:color w:val="000000" w:themeColor="text1"/>
          <w:szCs w:val="24"/>
          <w:lang w:eastAsia="fr-FR"/>
        </w:rPr>
        <w:t xml:space="preserve">osition et </w:t>
      </w:r>
      <w:r w:rsidR="002A025B" w:rsidRPr="00A33D3D">
        <w:rPr>
          <w:rFonts w:cs="Arial"/>
          <w:color w:val="000000" w:themeColor="text1"/>
          <w:szCs w:val="24"/>
          <w:lang w:eastAsia="fr-FR"/>
        </w:rPr>
        <w:t>l’extension du champ</w:t>
      </w:r>
      <w:r w:rsidR="002A025B">
        <w:rPr>
          <w:rFonts w:cs="Arial"/>
          <w:color w:val="000000" w:themeColor="text1"/>
          <w:szCs w:val="24"/>
          <w:lang w:eastAsia="fr-FR"/>
        </w:rPr>
        <w:t xml:space="preserve">, </w:t>
      </w:r>
      <w:r w:rsidR="008E78F4" w:rsidRPr="002A025B">
        <w:rPr>
          <w:rFonts w:cs="Arial"/>
          <w:color w:val="000000" w:themeColor="text1"/>
          <w:szCs w:val="24"/>
          <w:lang w:eastAsia="fr-FR"/>
        </w:rPr>
        <w:t xml:space="preserve">et </w:t>
      </w:r>
      <w:r w:rsidR="008707E3" w:rsidRPr="002A025B">
        <w:rPr>
          <w:rFonts w:cs="Arial"/>
          <w:color w:val="000000" w:themeColor="text1"/>
          <w:szCs w:val="24"/>
          <w:lang w:eastAsia="fr-FR"/>
        </w:rPr>
        <w:t>à définir un programme, des orientations et des modalités</w:t>
      </w:r>
      <w:r w:rsidR="001B3DAB" w:rsidRPr="002A025B">
        <w:rPr>
          <w:rFonts w:cs="Arial"/>
          <w:color w:val="000000" w:themeColor="text1"/>
          <w:szCs w:val="24"/>
          <w:lang w:eastAsia="fr-FR"/>
        </w:rPr>
        <w:t xml:space="preserve"> de recherche</w:t>
      </w:r>
      <w:r w:rsidR="008E78F4" w:rsidRPr="002A025B">
        <w:rPr>
          <w:rFonts w:cs="Arial"/>
          <w:color w:val="000000" w:themeColor="text1"/>
          <w:szCs w:val="24"/>
          <w:lang w:eastAsia="fr-FR"/>
        </w:rPr>
        <w:t xml:space="preserve"> communs</w:t>
      </w:r>
      <w:r w:rsidR="001B3DAB" w:rsidRPr="002A025B">
        <w:rPr>
          <w:rFonts w:cs="Arial"/>
          <w:color w:val="000000" w:themeColor="text1"/>
          <w:szCs w:val="24"/>
          <w:lang w:eastAsia="fr-FR"/>
        </w:rPr>
        <w:t>, dans une perspective résolument interdisciplinaire</w:t>
      </w:r>
      <w:r w:rsidR="00664250" w:rsidRPr="002A025B">
        <w:rPr>
          <w:rFonts w:cs="Arial"/>
          <w:color w:val="000000" w:themeColor="text1"/>
          <w:szCs w:val="24"/>
          <w:lang w:eastAsia="fr-FR"/>
        </w:rPr>
        <w:t xml:space="preserve">. </w:t>
      </w:r>
    </w:p>
    <w:p w14:paraId="7287C587" w14:textId="46670304" w:rsidR="00664250" w:rsidRPr="002A025B" w:rsidRDefault="001B3DAB" w:rsidP="0092645C">
      <w:pPr>
        <w:rPr>
          <w:rFonts w:eastAsia="Times New Roman" w:cs="Arial"/>
          <w:color w:val="000000" w:themeColor="text1"/>
          <w:szCs w:val="24"/>
          <w:lang w:eastAsia="fr-FR"/>
        </w:rPr>
      </w:pPr>
      <w:r w:rsidRPr="002A025B">
        <w:rPr>
          <w:rFonts w:cs="Arial"/>
          <w:color w:val="000000" w:themeColor="text1"/>
          <w:szCs w:val="24"/>
          <w:lang w:eastAsia="fr-FR"/>
        </w:rPr>
        <w:t xml:space="preserve">Seront conviés à prendre conjointement part </w:t>
      </w:r>
      <w:proofErr w:type="gramStart"/>
      <w:r w:rsidRPr="002A025B">
        <w:rPr>
          <w:rFonts w:cs="Arial"/>
          <w:color w:val="000000" w:themeColor="text1"/>
          <w:szCs w:val="24"/>
          <w:lang w:eastAsia="fr-FR"/>
        </w:rPr>
        <w:t xml:space="preserve">à la réflexion </w:t>
      </w:r>
      <w:r w:rsidR="00664250" w:rsidRPr="002A025B">
        <w:rPr>
          <w:rFonts w:eastAsia="Times New Roman" w:cs="Arial"/>
          <w:color w:val="000000" w:themeColor="text1"/>
          <w:szCs w:val="24"/>
          <w:lang w:eastAsia="fr-FR"/>
        </w:rPr>
        <w:t>spécialistes</w:t>
      </w:r>
      <w:proofErr w:type="gramEnd"/>
      <w:r w:rsidR="00664250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 en </w:t>
      </w:r>
      <w:r w:rsidR="002366E0">
        <w:rPr>
          <w:rFonts w:eastAsia="Times New Roman" w:cs="Arial"/>
          <w:color w:val="000000" w:themeColor="text1"/>
          <w:szCs w:val="24"/>
          <w:lang w:eastAsia="fr-FR"/>
        </w:rPr>
        <w:t>é</w:t>
      </w:r>
      <w:r w:rsidR="00664250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tudes 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t</w:t>
      </w:r>
      <w:r w:rsidR="00EF449D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héâtrales (histoire, théorie), </w:t>
      </w:r>
      <w:r w:rsidR="00664250" w:rsidRPr="002A025B">
        <w:rPr>
          <w:rFonts w:eastAsia="Times New Roman" w:cs="Arial"/>
          <w:color w:val="000000" w:themeColor="text1"/>
          <w:szCs w:val="24"/>
          <w:lang w:eastAsia="fr-FR"/>
        </w:rPr>
        <w:t>en sciences de l’information et de la communicati</w:t>
      </w:r>
      <w:r w:rsidR="00EF449D" w:rsidRPr="002A025B">
        <w:rPr>
          <w:rFonts w:eastAsia="Times New Roman" w:cs="Arial"/>
          <w:color w:val="000000" w:themeColor="text1"/>
          <w:szCs w:val="24"/>
          <w:lang w:eastAsia="fr-FR"/>
        </w:rPr>
        <w:t>on (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m</w:t>
      </w:r>
      <w:r w:rsidR="00EF449D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uséologie, 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a</w:t>
      </w:r>
      <w:r w:rsidR="00EF449D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rchivistique, 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d</w:t>
      </w:r>
      <w:r w:rsidR="00664250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ocumentation, 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b</w:t>
      </w:r>
      <w:r w:rsidR="00664250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ibliothéconomie), mais aussi en 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e</w:t>
      </w:r>
      <w:r w:rsidR="00EF449D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sthétique, 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u</w:t>
      </w:r>
      <w:r w:rsidR="00664250" w:rsidRPr="002A025B">
        <w:rPr>
          <w:rFonts w:eastAsia="Times New Roman" w:cs="Arial"/>
          <w:color w:val="000000" w:themeColor="text1"/>
          <w:szCs w:val="24"/>
          <w:lang w:eastAsia="fr-FR"/>
        </w:rPr>
        <w:t>rbanisme,</w:t>
      </w: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 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g</w:t>
      </w:r>
      <w:r w:rsidR="00EF449D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éographie, </w:t>
      </w:r>
      <w:r w:rsidR="00D155EA" w:rsidRPr="00996F22">
        <w:rPr>
          <w:rFonts w:eastAsia="Times New Roman" w:cs="Arial"/>
          <w:color w:val="000000" w:themeColor="text1"/>
          <w:szCs w:val="24"/>
          <w:lang w:eastAsia="fr-FR"/>
        </w:rPr>
        <w:t>h</w:t>
      </w:r>
      <w:r w:rsidRPr="00996F22">
        <w:rPr>
          <w:rFonts w:eastAsia="Times New Roman" w:cs="Arial"/>
          <w:color w:val="000000" w:themeColor="text1"/>
          <w:szCs w:val="24"/>
          <w:lang w:eastAsia="fr-FR"/>
        </w:rPr>
        <w:t>is</w:t>
      </w: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toire, 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p</w:t>
      </w:r>
      <w:r w:rsidR="00EF449D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hilosophie ou </w:t>
      </w:r>
      <w:r w:rsidR="00F339AF" w:rsidRPr="002A025B">
        <w:rPr>
          <w:rFonts w:eastAsia="Times New Roman" w:cs="Arial"/>
          <w:color w:val="000000" w:themeColor="text1"/>
          <w:szCs w:val="24"/>
          <w:lang w:eastAsia="fr-FR"/>
        </w:rPr>
        <w:t>a</w:t>
      </w:r>
      <w:r w:rsidR="00EF449D" w:rsidRPr="002A025B">
        <w:rPr>
          <w:rFonts w:eastAsia="Times New Roman" w:cs="Arial"/>
          <w:color w:val="000000" w:themeColor="text1"/>
          <w:szCs w:val="24"/>
          <w:lang w:eastAsia="fr-FR"/>
        </w:rPr>
        <w:t>rchitecture.</w:t>
      </w:r>
    </w:p>
    <w:p w14:paraId="08AEB056" w14:textId="77777777" w:rsidR="00801468" w:rsidRDefault="00801468" w:rsidP="0092645C">
      <w:pPr>
        <w:rPr>
          <w:rFonts w:eastAsia="Times New Roman" w:cs="Arial"/>
          <w:color w:val="000000" w:themeColor="text1"/>
          <w:szCs w:val="24"/>
          <w:lang w:eastAsia="fr-FR"/>
        </w:rPr>
      </w:pPr>
    </w:p>
    <w:p w14:paraId="07D511CE" w14:textId="28EB61FA" w:rsidR="004D150B" w:rsidRPr="002A025B" w:rsidRDefault="00B575EC" w:rsidP="0092645C">
      <w:pPr>
        <w:rPr>
          <w:rFonts w:eastAsia="Times New Roman" w:cs="Arial"/>
          <w:color w:val="000000" w:themeColor="text1"/>
          <w:szCs w:val="24"/>
          <w:lang w:eastAsia="fr-FR"/>
        </w:rPr>
      </w:pPr>
      <w:r w:rsidRPr="002A025B">
        <w:rPr>
          <w:rFonts w:eastAsia="Times New Roman" w:cs="Arial"/>
          <w:color w:val="000000" w:themeColor="text1"/>
          <w:szCs w:val="24"/>
          <w:lang w:eastAsia="fr-FR"/>
        </w:rPr>
        <w:t>Ce p</w:t>
      </w:r>
      <w:r w:rsidR="0079721F" w:rsidRPr="002A025B">
        <w:rPr>
          <w:rFonts w:eastAsia="Times New Roman" w:cs="Arial"/>
          <w:color w:val="000000" w:themeColor="text1"/>
          <w:szCs w:val="24"/>
          <w:lang w:eastAsia="fr-FR"/>
        </w:rPr>
        <w:t>remier temps sera suivi de deux</w:t>
      </w: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 journées d’étude, </w:t>
      </w:r>
      <w:r w:rsidR="00F32868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la première </w:t>
      </w: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à l’université Jean Jaurès </w:t>
      </w:r>
      <w:r w:rsidR="00C16C71">
        <w:rPr>
          <w:rFonts w:eastAsia="Times New Roman" w:cs="Arial"/>
          <w:color w:val="000000" w:themeColor="text1"/>
          <w:szCs w:val="24"/>
          <w:lang w:eastAsia="fr-FR"/>
        </w:rPr>
        <w:t>de</w:t>
      </w:r>
      <w:r w:rsidR="007108E1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 </w:t>
      </w: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Toulouse </w:t>
      </w:r>
      <w:r w:rsidR="007108E1" w:rsidRPr="002A025B">
        <w:rPr>
          <w:rFonts w:eastAsia="Times New Roman" w:cs="Arial"/>
          <w:color w:val="000000" w:themeColor="text1"/>
          <w:szCs w:val="24"/>
          <w:lang w:eastAsia="fr-FR"/>
        </w:rPr>
        <w:t>au mois d’octobre</w:t>
      </w: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 2017</w:t>
      </w:r>
      <w:r w:rsidR="007108E1" w:rsidRPr="002A025B">
        <w:rPr>
          <w:rFonts w:eastAsia="Times New Roman" w:cs="Arial"/>
          <w:color w:val="000000" w:themeColor="text1"/>
          <w:szCs w:val="24"/>
          <w:lang w:eastAsia="fr-FR"/>
        </w:rPr>
        <w:t>,</w:t>
      </w: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 et à l’université </w:t>
      </w:r>
      <w:r w:rsidR="00F32868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d’Avignon </w:t>
      </w:r>
      <w:r w:rsidR="000D4037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et des pays de Vaucluse </w:t>
      </w:r>
      <w:r w:rsidR="00016F35" w:rsidRPr="002A025B">
        <w:rPr>
          <w:rFonts w:eastAsia="Times New Roman" w:cs="Arial"/>
          <w:color w:val="000000" w:themeColor="text1"/>
          <w:szCs w:val="24"/>
          <w:lang w:eastAsia="fr-FR"/>
        </w:rPr>
        <w:t>en janvier 2018, puis d’un colloque à Paris, en juin 2018.</w:t>
      </w:r>
    </w:p>
    <w:p w14:paraId="7F9ADAD2" w14:textId="77777777" w:rsidR="00F32868" w:rsidRPr="002A025B" w:rsidRDefault="00F32868" w:rsidP="0092645C">
      <w:pPr>
        <w:rPr>
          <w:rFonts w:eastAsia="Times New Roman" w:cs="Arial"/>
          <w:color w:val="000000" w:themeColor="text1"/>
          <w:szCs w:val="24"/>
          <w:lang w:eastAsia="fr-FR"/>
        </w:rPr>
      </w:pPr>
    </w:p>
    <w:p w14:paraId="041F5834" w14:textId="7FE4BDC5" w:rsidR="0028561B" w:rsidRPr="002A025B" w:rsidRDefault="0028561B" w:rsidP="0092645C">
      <w:pPr>
        <w:rPr>
          <w:rFonts w:eastAsia="Times New Roman" w:cs="Arial"/>
          <w:color w:val="000000" w:themeColor="text1"/>
          <w:szCs w:val="24"/>
          <w:lang w:eastAsia="fr-FR"/>
        </w:rPr>
      </w:pP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Les propositions de communication seront à envoyer </w:t>
      </w:r>
      <w:r w:rsidR="00A43B28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avant le 15 janvier 2017 à l’adresse suivante : </w:t>
      </w:r>
      <w:r w:rsidR="00797F04" w:rsidRPr="002A025B">
        <w:rPr>
          <w:rFonts w:eastAsia="Times New Roman" w:cs="Arial"/>
          <w:color w:val="000000" w:themeColor="text1"/>
          <w:szCs w:val="24"/>
          <w:lang w:eastAsia="fr-FR"/>
        </w:rPr>
        <w:t>cyclelieuxdepensee@gmail.com.</w:t>
      </w:r>
    </w:p>
    <w:p w14:paraId="3C3725C3" w14:textId="77777777" w:rsidR="00F32868" w:rsidRPr="002A025B" w:rsidRDefault="00F32868" w:rsidP="0092645C">
      <w:pPr>
        <w:rPr>
          <w:rFonts w:eastAsia="Times New Roman" w:cs="Arial"/>
          <w:color w:val="000000" w:themeColor="text1"/>
          <w:szCs w:val="24"/>
          <w:lang w:eastAsia="fr-FR"/>
        </w:rPr>
      </w:pPr>
    </w:p>
    <w:p w14:paraId="3B3906E2" w14:textId="314B8701" w:rsidR="000D4037" w:rsidRPr="002A025B" w:rsidRDefault="000D4037" w:rsidP="008C7CA9">
      <w:pPr>
        <w:rPr>
          <w:rFonts w:eastAsia="Times New Roman" w:cs="Arial"/>
          <w:b/>
          <w:color w:val="000000" w:themeColor="text1"/>
          <w:szCs w:val="24"/>
          <w:lang w:eastAsia="fr-FR"/>
        </w:rPr>
      </w:pPr>
      <w:r w:rsidRPr="002A025B">
        <w:rPr>
          <w:rFonts w:eastAsia="Times New Roman" w:cs="Arial"/>
          <w:b/>
          <w:color w:val="000000" w:themeColor="text1"/>
          <w:szCs w:val="24"/>
          <w:lang w:eastAsia="fr-FR"/>
        </w:rPr>
        <w:t>Comité d’Organisation</w:t>
      </w:r>
    </w:p>
    <w:p w14:paraId="3CFC40DA" w14:textId="179E5339" w:rsidR="00C93181" w:rsidRPr="002A025B" w:rsidRDefault="00F32868" w:rsidP="008C7CA9">
      <w:pPr>
        <w:rPr>
          <w:rFonts w:eastAsia="Times New Roman" w:cs="Arial"/>
          <w:color w:val="000000" w:themeColor="text1"/>
          <w:szCs w:val="24"/>
          <w:lang w:eastAsia="fr-FR"/>
        </w:rPr>
      </w:pP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Aurélie Mouton </w:t>
      </w:r>
      <w:proofErr w:type="spellStart"/>
      <w:r w:rsidRPr="002A025B">
        <w:rPr>
          <w:rFonts w:eastAsia="Times New Roman" w:cs="Arial"/>
          <w:color w:val="000000" w:themeColor="text1"/>
          <w:szCs w:val="24"/>
          <w:lang w:eastAsia="fr-FR"/>
        </w:rPr>
        <w:t>Rezzouk</w:t>
      </w:r>
      <w:proofErr w:type="spellEnd"/>
      <w:r w:rsidR="00C93181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, IRET, Université Sorbonne Nouvelle – Paris 3 </w:t>
      </w:r>
    </w:p>
    <w:p w14:paraId="2FEB719F" w14:textId="64EE9DE8" w:rsidR="00C93181" w:rsidRPr="002A025B" w:rsidRDefault="00C93181" w:rsidP="008C7CA9">
      <w:pPr>
        <w:rPr>
          <w:rFonts w:eastAsia="Times New Roman" w:cs="Arial"/>
          <w:color w:val="000000" w:themeColor="text1"/>
          <w:szCs w:val="24"/>
          <w:lang w:eastAsia="fr-FR"/>
        </w:rPr>
      </w:pP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François Mairesse, </w:t>
      </w:r>
      <w:r w:rsidR="008D1CA7"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CERLIS, </w:t>
      </w:r>
      <w:r w:rsidRPr="002A025B">
        <w:rPr>
          <w:rFonts w:eastAsia="Times New Roman" w:cs="Arial"/>
          <w:color w:val="000000" w:themeColor="text1"/>
          <w:szCs w:val="24"/>
          <w:lang w:eastAsia="fr-FR"/>
        </w:rPr>
        <w:t>Université Sorbonne Nouvelle – Paris 3</w:t>
      </w:r>
    </w:p>
    <w:p w14:paraId="66E65A31" w14:textId="7BAAA9CE" w:rsidR="00C93181" w:rsidRPr="002A025B" w:rsidRDefault="00C93181" w:rsidP="008C7CA9">
      <w:pPr>
        <w:rPr>
          <w:rFonts w:cs="Arial"/>
          <w:color w:val="000000" w:themeColor="text1"/>
          <w:szCs w:val="24"/>
        </w:rPr>
      </w:pPr>
      <w:r w:rsidRPr="002A025B">
        <w:rPr>
          <w:rFonts w:eastAsia="Times New Roman" w:cs="Arial"/>
          <w:color w:val="000000" w:themeColor="text1"/>
          <w:szCs w:val="24"/>
          <w:lang w:eastAsia="fr-FR"/>
        </w:rPr>
        <w:t xml:space="preserve">Flore Garcin Marrou, </w:t>
      </w:r>
      <w:r w:rsidR="008D1CA7" w:rsidRPr="002A025B">
        <w:rPr>
          <w:rFonts w:cs="Arial"/>
          <w:color w:val="000000" w:themeColor="text1"/>
          <w:szCs w:val="24"/>
        </w:rPr>
        <w:t>LLA CREATIS</w:t>
      </w:r>
      <w:r w:rsidR="00344704" w:rsidRPr="002A025B">
        <w:rPr>
          <w:rFonts w:cs="Arial"/>
          <w:color w:val="000000" w:themeColor="text1"/>
          <w:szCs w:val="24"/>
        </w:rPr>
        <w:t xml:space="preserve">, </w:t>
      </w:r>
      <w:r w:rsidR="00303779" w:rsidRPr="002A025B">
        <w:rPr>
          <w:rFonts w:cs="Arial"/>
          <w:color w:val="000000" w:themeColor="text1"/>
          <w:szCs w:val="24"/>
        </w:rPr>
        <w:t>Université Toulouse Jean Jaurès</w:t>
      </w:r>
    </w:p>
    <w:p w14:paraId="403AAFEB" w14:textId="312D9EDE" w:rsidR="000767E6" w:rsidRPr="002A025B" w:rsidRDefault="000767E6" w:rsidP="008C7CA9">
      <w:pPr>
        <w:rPr>
          <w:rFonts w:eastAsia="Times New Roman" w:cs="Arial"/>
          <w:color w:val="000000" w:themeColor="text1"/>
          <w:szCs w:val="24"/>
          <w:lang w:eastAsia="fr-FR"/>
        </w:rPr>
      </w:pPr>
      <w:r w:rsidRPr="002A025B">
        <w:rPr>
          <w:rFonts w:cs="Arial"/>
          <w:color w:val="000000" w:themeColor="text1"/>
          <w:szCs w:val="24"/>
        </w:rPr>
        <w:t xml:space="preserve">Julie </w:t>
      </w:r>
      <w:proofErr w:type="spellStart"/>
      <w:r w:rsidRPr="002A025B">
        <w:rPr>
          <w:rFonts w:cs="Arial"/>
          <w:color w:val="000000" w:themeColor="text1"/>
          <w:szCs w:val="24"/>
        </w:rPr>
        <w:t>Deramond</w:t>
      </w:r>
      <w:proofErr w:type="spellEnd"/>
      <w:r w:rsidRPr="002A025B">
        <w:rPr>
          <w:rFonts w:cs="Arial"/>
          <w:color w:val="000000" w:themeColor="text1"/>
          <w:szCs w:val="24"/>
        </w:rPr>
        <w:t xml:space="preserve">, </w:t>
      </w:r>
      <w:r w:rsidR="00D155EA" w:rsidRPr="00996F22">
        <w:rPr>
          <w:rFonts w:cs="Arial"/>
          <w:color w:val="000000" w:themeColor="text1"/>
          <w:szCs w:val="24"/>
        </w:rPr>
        <w:t>Equipe Culture et Communication, CNE</w:t>
      </w:r>
      <w:r w:rsidRPr="00D155EA">
        <w:rPr>
          <w:rFonts w:cs="Arial"/>
          <w:color w:val="F79646" w:themeColor="accent6"/>
          <w:szCs w:val="24"/>
        </w:rPr>
        <w:t>,</w:t>
      </w:r>
      <w:r w:rsidRPr="002A025B">
        <w:rPr>
          <w:rFonts w:cs="Arial"/>
          <w:color w:val="000000" w:themeColor="text1"/>
          <w:szCs w:val="24"/>
        </w:rPr>
        <w:t xml:space="preserve"> </w:t>
      </w:r>
      <w:r w:rsidRPr="002A025B">
        <w:rPr>
          <w:rFonts w:cs="Verdana"/>
          <w:color w:val="000000" w:themeColor="text1"/>
          <w:szCs w:val="24"/>
        </w:rPr>
        <w:t>Université d’Avignon et des Pays de Vaucluse.</w:t>
      </w:r>
    </w:p>
    <w:p w14:paraId="73622EBC" w14:textId="40B1C369" w:rsidR="00080415" w:rsidRPr="002A025B" w:rsidRDefault="00080415" w:rsidP="008C7CA9">
      <w:pPr>
        <w:rPr>
          <w:color w:val="000000" w:themeColor="text1"/>
          <w:lang w:eastAsia="fr-FR"/>
        </w:rPr>
      </w:pPr>
    </w:p>
    <w:sectPr w:rsidR="00080415" w:rsidRPr="002A025B" w:rsidSect="006F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E6DC" w14:textId="77777777" w:rsidR="009D29B8" w:rsidRDefault="009D29B8" w:rsidP="00FC7DA8">
      <w:pPr>
        <w:spacing w:after="0"/>
      </w:pPr>
      <w:r>
        <w:separator/>
      </w:r>
    </w:p>
  </w:endnote>
  <w:endnote w:type="continuationSeparator" w:id="0">
    <w:p w14:paraId="7AF11121" w14:textId="77777777" w:rsidR="009D29B8" w:rsidRDefault="009D29B8" w:rsidP="00FC7D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795B6" w14:textId="77777777" w:rsidR="009D29B8" w:rsidRDefault="009D29B8" w:rsidP="00FC7DA8">
      <w:pPr>
        <w:spacing w:after="0"/>
      </w:pPr>
      <w:r>
        <w:separator/>
      </w:r>
    </w:p>
  </w:footnote>
  <w:footnote w:type="continuationSeparator" w:id="0">
    <w:p w14:paraId="37B005C4" w14:textId="77777777" w:rsidR="009D29B8" w:rsidRDefault="009D29B8" w:rsidP="00FC7DA8">
      <w:pPr>
        <w:spacing w:after="0"/>
      </w:pPr>
      <w:r>
        <w:continuationSeparator/>
      </w:r>
    </w:p>
  </w:footnote>
  <w:footnote w:id="1">
    <w:p w14:paraId="10495287" w14:textId="1038B430" w:rsidR="00187435" w:rsidRPr="007A0A95" w:rsidRDefault="00187435" w:rsidP="00FE09E7">
      <w:pPr>
        <w:spacing w:after="0"/>
        <w:ind w:firstLine="0"/>
        <w:rPr>
          <w:rFonts w:ascii="Times New Roman" w:eastAsia="Times New Roman" w:hAnsi="Times New Roman" w:cs="Times New Roman"/>
          <w:color w:val="000000" w:themeColor="text1"/>
          <w:szCs w:val="24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="00ED40EC">
        <w:rPr>
          <w:rFonts w:eastAsia="Times New Roman" w:cs="Times New Roman"/>
          <w:color w:val="000000" w:themeColor="text1"/>
          <w:sz w:val="20"/>
          <w:szCs w:val="20"/>
          <w:lang w:eastAsia="fr-FR"/>
        </w:rPr>
        <w:t>L</w:t>
      </w:r>
      <w:r w:rsidRPr="007A0A95">
        <w:rPr>
          <w:rFonts w:eastAsia="Times New Roman" w:cs="Times New Roman"/>
          <w:color w:val="000000" w:themeColor="text1"/>
          <w:sz w:val="20"/>
          <w:szCs w:val="20"/>
          <w:lang w:eastAsia="fr-FR"/>
        </w:rPr>
        <w:t>a scène renvo</w:t>
      </w:r>
      <w:r w:rsidR="00ED40EC">
        <w:rPr>
          <w:rFonts w:eastAsia="Times New Roman" w:cs="Times New Roman"/>
          <w:color w:val="000000" w:themeColor="text1"/>
          <w:sz w:val="20"/>
          <w:szCs w:val="20"/>
          <w:lang w:eastAsia="fr-FR"/>
        </w:rPr>
        <w:t>ie ici</w:t>
      </w:r>
      <w:r w:rsidRPr="007A0A95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tant à la scène musicale que théâtrale</w:t>
      </w:r>
      <w:r w:rsidR="00743676">
        <w:rPr>
          <w:rFonts w:eastAsia="Times New Roman" w:cs="Times New Roman"/>
          <w:color w:val="000000" w:themeColor="text1"/>
          <w:sz w:val="20"/>
          <w:szCs w:val="20"/>
          <w:lang w:eastAsia="fr-FR"/>
        </w:rPr>
        <w:t>, chorégraphique</w:t>
      </w:r>
      <w:r w:rsidRPr="007A0A95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ou circassienne, voire au plateau de cinéma</w:t>
      </w:r>
      <w:r>
        <w:rPr>
          <w:rFonts w:eastAsia="Times New Roman" w:cs="Times New Roman"/>
          <w:color w:val="000000" w:themeColor="text1"/>
          <w:sz w:val="20"/>
          <w:szCs w:val="20"/>
          <w:lang w:eastAsia="fr-FR"/>
        </w:rPr>
        <w:t>,</w:t>
      </w:r>
      <w:r w:rsidRPr="007A0A95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l’espace muséal </w:t>
      </w:r>
      <w:r>
        <w:rPr>
          <w:rFonts w:eastAsia="Times New Roman" w:cs="Times New Roman"/>
          <w:color w:val="000000" w:themeColor="text1"/>
          <w:sz w:val="20"/>
          <w:szCs w:val="20"/>
          <w:lang w:eastAsia="fr-FR"/>
        </w:rPr>
        <w:t>aussi bien</w:t>
      </w:r>
      <w:r w:rsidRPr="007A0A95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aux musées (de société, de beaux-arts, de sciences, etc.) qu’aux cen</w:t>
      </w:r>
      <w:r>
        <w:rPr>
          <w:rFonts w:eastAsia="Times New Roman" w:cs="Times New Roman"/>
          <w:color w:val="000000" w:themeColor="text1"/>
          <w:sz w:val="20"/>
          <w:szCs w:val="20"/>
          <w:lang w:eastAsia="fr-FR"/>
        </w:rPr>
        <w:t>tres d’interprétation ;</w:t>
      </w:r>
      <w:r w:rsidRPr="007A0A95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enfin à la bibliothèque s’associent la médiathèque, le centre de documentation ou les archives.</w:t>
      </w:r>
    </w:p>
    <w:p w14:paraId="20E7D9E8" w14:textId="7372508E" w:rsidR="00187435" w:rsidRDefault="00187435">
      <w:pPr>
        <w:pStyle w:val="Notedebasdepage"/>
      </w:pPr>
    </w:p>
  </w:footnote>
  <w:footnote w:id="2">
    <w:p w14:paraId="03B7234C" w14:textId="08F35565" w:rsidR="00FE09E7" w:rsidRPr="002A025B" w:rsidRDefault="00FE09E7" w:rsidP="00FE09E7">
      <w:pPr>
        <w:ind w:firstLine="0"/>
        <w:rPr>
          <w:rFonts w:cs="Arial"/>
          <w:color w:val="000000" w:themeColor="text1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="003029F7" w:rsidRPr="00FE09E7">
        <w:rPr>
          <w:sz w:val="20"/>
          <w:szCs w:val="20"/>
        </w:rPr>
        <w:t>Sur ce point, comme pour le suivant, la bibliothèque</w:t>
      </w:r>
      <w:r w:rsidR="00C9434F">
        <w:rPr>
          <w:sz w:val="20"/>
          <w:szCs w:val="20"/>
        </w:rPr>
        <w:t xml:space="preserve"> ou la </w:t>
      </w:r>
      <w:r w:rsidR="006E69C2">
        <w:rPr>
          <w:sz w:val="20"/>
          <w:szCs w:val="20"/>
        </w:rPr>
        <w:t>médiathèque</w:t>
      </w:r>
      <w:r w:rsidR="003029F7" w:rsidRPr="00FE09E7">
        <w:rPr>
          <w:sz w:val="20"/>
          <w:szCs w:val="20"/>
        </w:rPr>
        <w:t xml:space="preserve"> occupe</w:t>
      </w:r>
      <w:r w:rsidR="00C9434F">
        <w:rPr>
          <w:sz w:val="20"/>
          <w:szCs w:val="20"/>
        </w:rPr>
        <w:t>nt</w:t>
      </w:r>
      <w:r w:rsidR="003029F7" w:rsidRPr="00FE09E7">
        <w:rPr>
          <w:sz w:val="20"/>
          <w:szCs w:val="20"/>
        </w:rPr>
        <w:t xml:space="preserve"> une place un peu </w:t>
      </w:r>
      <w:r w:rsidR="006459A9">
        <w:rPr>
          <w:sz w:val="20"/>
          <w:szCs w:val="20"/>
        </w:rPr>
        <w:t xml:space="preserve">à part, </w:t>
      </w:r>
      <w:r w:rsidR="003029F7" w:rsidRPr="00FE09E7">
        <w:rPr>
          <w:sz w:val="20"/>
          <w:szCs w:val="20"/>
        </w:rPr>
        <w:t>en ce qu’elle</w:t>
      </w:r>
      <w:r w:rsidR="00C9434F">
        <w:rPr>
          <w:sz w:val="20"/>
          <w:szCs w:val="20"/>
        </w:rPr>
        <w:t>s</w:t>
      </w:r>
      <w:r w:rsidR="003029F7" w:rsidRPr="00FE09E7">
        <w:rPr>
          <w:sz w:val="20"/>
          <w:szCs w:val="20"/>
        </w:rPr>
        <w:t xml:space="preserve"> relève</w:t>
      </w:r>
      <w:r w:rsidR="00C9434F">
        <w:rPr>
          <w:sz w:val="20"/>
          <w:szCs w:val="20"/>
        </w:rPr>
        <w:t>nt</w:t>
      </w:r>
      <w:r w:rsidR="003029F7" w:rsidRPr="00FE09E7">
        <w:rPr>
          <w:sz w:val="20"/>
          <w:szCs w:val="20"/>
        </w:rPr>
        <w:t xml:space="preserve"> partiellement de processus </w:t>
      </w:r>
      <w:proofErr w:type="spellStart"/>
      <w:r w:rsidR="003029F7" w:rsidRPr="00FE09E7">
        <w:rPr>
          <w:sz w:val="20"/>
          <w:szCs w:val="20"/>
        </w:rPr>
        <w:t>expositionnels</w:t>
      </w:r>
      <w:proofErr w:type="spellEnd"/>
      <w:r w:rsidR="003029F7" w:rsidRPr="00FE09E7">
        <w:rPr>
          <w:sz w:val="20"/>
          <w:szCs w:val="20"/>
        </w:rPr>
        <w:t xml:space="preserve"> (lorsque l’accent est mis sur la déambulation entre les rayonnages de livres, et la mise en valeur de certains d’entre eux), et qu’elle emprunte à l’occasion à la scène (par la lecture publique, par exemple), tout en s’en détachant fortement par d’autres aspects</w:t>
      </w:r>
      <w:r w:rsidR="00C9434F">
        <w:rPr>
          <w:sz w:val="20"/>
          <w:szCs w:val="20"/>
        </w:rPr>
        <w:t>.</w:t>
      </w:r>
    </w:p>
    <w:p w14:paraId="6A763DDD" w14:textId="35B534CB" w:rsidR="00FE09E7" w:rsidRDefault="00FE09E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16BC"/>
    <w:multiLevelType w:val="multilevel"/>
    <w:tmpl w:val="D670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62CEA"/>
    <w:multiLevelType w:val="multilevel"/>
    <w:tmpl w:val="A07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77E1D"/>
    <w:multiLevelType w:val="multilevel"/>
    <w:tmpl w:val="F58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03881"/>
    <w:multiLevelType w:val="hybridMultilevel"/>
    <w:tmpl w:val="ABAC4F4A"/>
    <w:lvl w:ilvl="0" w:tplc="D7E64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12990"/>
    <w:multiLevelType w:val="multilevel"/>
    <w:tmpl w:val="423E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6FF8"/>
    <w:multiLevelType w:val="hybridMultilevel"/>
    <w:tmpl w:val="9DF40F22"/>
    <w:lvl w:ilvl="0" w:tplc="05303B06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7A"/>
    <w:rsid w:val="00001386"/>
    <w:rsid w:val="00016F35"/>
    <w:rsid w:val="00016F90"/>
    <w:rsid w:val="00050D5C"/>
    <w:rsid w:val="000533A1"/>
    <w:rsid w:val="00065CDA"/>
    <w:rsid w:val="0007365F"/>
    <w:rsid w:val="000767E6"/>
    <w:rsid w:val="00080415"/>
    <w:rsid w:val="00080B58"/>
    <w:rsid w:val="0008439A"/>
    <w:rsid w:val="0008750E"/>
    <w:rsid w:val="000919D3"/>
    <w:rsid w:val="000A3411"/>
    <w:rsid w:val="000C0488"/>
    <w:rsid w:val="000D02E5"/>
    <w:rsid w:val="000D4037"/>
    <w:rsid w:val="000E2100"/>
    <w:rsid w:val="000E5E22"/>
    <w:rsid w:val="000F39AF"/>
    <w:rsid w:val="001020F3"/>
    <w:rsid w:val="00120FD7"/>
    <w:rsid w:val="001249A5"/>
    <w:rsid w:val="00125144"/>
    <w:rsid w:val="00134F63"/>
    <w:rsid w:val="001370E7"/>
    <w:rsid w:val="00144036"/>
    <w:rsid w:val="001673B8"/>
    <w:rsid w:val="001869C4"/>
    <w:rsid w:val="00187435"/>
    <w:rsid w:val="00191475"/>
    <w:rsid w:val="001B2B2A"/>
    <w:rsid w:val="001B3DAB"/>
    <w:rsid w:val="001E33BF"/>
    <w:rsid w:val="001F0ACA"/>
    <w:rsid w:val="002366E0"/>
    <w:rsid w:val="002515C5"/>
    <w:rsid w:val="00264753"/>
    <w:rsid w:val="00280517"/>
    <w:rsid w:val="0028561B"/>
    <w:rsid w:val="00286F77"/>
    <w:rsid w:val="002903B9"/>
    <w:rsid w:val="002957A7"/>
    <w:rsid w:val="002A025B"/>
    <w:rsid w:val="002A4DAD"/>
    <w:rsid w:val="002B4C44"/>
    <w:rsid w:val="002B6CF8"/>
    <w:rsid w:val="002C6ACB"/>
    <w:rsid w:val="003029F7"/>
    <w:rsid w:val="00303779"/>
    <w:rsid w:val="00344149"/>
    <w:rsid w:val="00344704"/>
    <w:rsid w:val="00344BE4"/>
    <w:rsid w:val="00351C51"/>
    <w:rsid w:val="00355FD8"/>
    <w:rsid w:val="00386D9D"/>
    <w:rsid w:val="00395223"/>
    <w:rsid w:val="003A7205"/>
    <w:rsid w:val="003C18B8"/>
    <w:rsid w:val="003F0CAF"/>
    <w:rsid w:val="00404315"/>
    <w:rsid w:val="00404516"/>
    <w:rsid w:val="00414205"/>
    <w:rsid w:val="00426E23"/>
    <w:rsid w:val="0044270C"/>
    <w:rsid w:val="0045001E"/>
    <w:rsid w:val="00450057"/>
    <w:rsid w:val="004520DF"/>
    <w:rsid w:val="00463168"/>
    <w:rsid w:val="00463483"/>
    <w:rsid w:val="00473B9E"/>
    <w:rsid w:val="004C3EE6"/>
    <w:rsid w:val="004C7EB1"/>
    <w:rsid w:val="004D150B"/>
    <w:rsid w:val="004E1094"/>
    <w:rsid w:val="004E4764"/>
    <w:rsid w:val="004F6D1D"/>
    <w:rsid w:val="004F7628"/>
    <w:rsid w:val="00522960"/>
    <w:rsid w:val="00535F3D"/>
    <w:rsid w:val="00541447"/>
    <w:rsid w:val="00551A3F"/>
    <w:rsid w:val="005537DF"/>
    <w:rsid w:val="00562988"/>
    <w:rsid w:val="00564F9C"/>
    <w:rsid w:val="005771F1"/>
    <w:rsid w:val="005C2E5F"/>
    <w:rsid w:val="005F62DF"/>
    <w:rsid w:val="00601D66"/>
    <w:rsid w:val="006242AF"/>
    <w:rsid w:val="006300B3"/>
    <w:rsid w:val="006459A9"/>
    <w:rsid w:val="00655339"/>
    <w:rsid w:val="00664250"/>
    <w:rsid w:val="00672AB9"/>
    <w:rsid w:val="006757F3"/>
    <w:rsid w:val="00694904"/>
    <w:rsid w:val="006A4503"/>
    <w:rsid w:val="006D0C85"/>
    <w:rsid w:val="006D51DB"/>
    <w:rsid w:val="006E4B55"/>
    <w:rsid w:val="006E69C2"/>
    <w:rsid w:val="006F543A"/>
    <w:rsid w:val="007108E1"/>
    <w:rsid w:val="007126AF"/>
    <w:rsid w:val="00713663"/>
    <w:rsid w:val="00720885"/>
    <w:rsid w:val="00723FE7"/>
    <w:rsid w:val="0073697A"/>
    <w:rsid w:val="00743676"/>
    <w:rsid w:val="007442F5"/>
    <w:rsid w:val="00750029"/>
    <w:rsid w:val="007523E7"/>
    <w:rsid w:val="0079721F"/>
    <w:rsid w:val="00797F04"/>
    <w:rsid w:val="007A0A95"/>
    <w:rsid w:val="007F0453"/>
    <w:rsid w:val="00801468"/>
    <w:rsid w:val="00817FAD"/>
    <w:rsid w:val="00825104"/>
    <w:rsid w:val="008362CA"/>
    <w:rsid w:val="0085494F"/>
    <w:rsid w:val="00863912"/>
    <w:rsid w:val="008707E3"/>
    <w:rsid w:val="008874EF"/>
    <w:rsid w:val="008879E9"/>
    <w:rsid w:val="008B58D7"/>
    <w:rsid w:val="008C085A"/>
    <w:rsid w:val="008C32D9"/>
    <w:rsid w:val="008C7CA9"/>
    <w:rsid w:val="008D1CA7"/>
    <w:rsid w:val="008E78F4"/>
    <w:rsid w:val="00901FA7"/>
    <w:rsid w:val="00917F92"/>
    <w:rsid w:val="00921453"/>
    <w:rsid w:val="0092510C"/>
    <w:rsid w:val="0092645C"/>
    <w:rsid w:val="0093625C"/>
    <w:rsid w:val="00972D5B"/>
    <w:rsid w:val="00993732"/>
    <w:rsid w:val="00996F22"/>
    <w:rsid w:val="009A3134"/>
    <w:rsid w:val="009B6D02"/>
    <w:rsid w:val="009D29B8"/>
    <w:rsid w:val="009D3DBC"/>
    <w:rsid w:val="009E675E"/>
    <w:rsid w:val="00A06835"/>
    <w:rsid w:val="00A1534E"/>
    <w:rsid w:val="00A33D3D"/>
    <w:rsid w:val="00A3569C"/>
    <w:rsid w:val="00A4202B"/>
    <w:rsid w:val="00A43B28"/>
    <w:rsid w:val="00A65D32"/>
    <w:rsid w:val="00A763E6"/>
    <w:rsid w:val="00A87A55"/>
    <w:rsid w:val="00A9062F"/>
    <w:rsid w:val="00A966DD"/>
    <w:rsid w:val="00AA4DA6"/>
    <w:rsid w:val="00AD4AFE"/>
    <w:rsid w:val="00B01B8C"/>
    <w:rsid w:val="00B13004"/>
    <w:rsid w:val="00B27B27"/>
    <w:rsid w:val="00B42779"/>
    <w:rsid w:val="00B45FD9"/>
    <w:rsid w:val="00B575EC"/>
    <w:rsid w:val="00B66E35"/>
    <w:rsid w:val="00B737CB"/>
    <w:rsid w:val="00B87A31"/>
    <w:rsid w:val="00B908AE"/>
    <w:rsid w:val="00B90F18"/>
    <w:rsid w:val="00B91C9D"/>
    <w:rsid w:val="00BA1490"/>
    <w:rsid w:val="00BB085F"/>
    <w:rsid w:val="00BF0E30"/>
    <w:rsid w:val="00BF52ED"/>
    <w:rsid w:val="00C07210"/>
    <w:rsid w:val="00C16C71"/>
    <w:rsid w:val="00C17C2E"/>
    <w:rsid w:val="00C2354E"/>
    <w:rsid w:val="00C41CCE"/>
    <w:rsid w:val="00C45A0A"/>
    <w:rsid w:val="00C47252"/>
    <w:rsid w:val="00C56A3C"/>
    <w:rsid w:val="00C82950"/>
    <w:rsid w:val="00C838F6"/>
    <w:rsid w:val="00C8719E"/>
    <w:rsid w:val="00C93181"/>
    <w:rsid w:val="00C9434F"/>
    <w:rsid w:val="00CA394D"/>
    <w:rsid w:val="00CE7685"/>
    <w:rsid w:val="00D155EA"/>
    <w:rsid w:val="00D42D10"/>
    <w:rsid w:val="00D6722E"/>
    <w:rsid w:val="00D73F52"/>
    <w:rsid w:val="00DB23FD"/>
    <w:rsid w:val="00DD72D0"/>
    <w:rsid w:val="00E02AC0"/>
    <w:rsid w:val="00E03404"/>
    <w:rsid w:val="00E05899"/>
    <w:rsid w:val="00E25E70"/>
    <w:rsid w:val="00E41122"/>
    <w:rsid w:val="00E616F2"/>
    <w:rsid w:val="00E87F67"/>
    <w:rsid w:val="00E95EF9"/>
    <w:rsid w:val="00EB3D24"/>
    <w:rsid w:val="00ED40EC"/>
    <w:rsid w:val="00ED484B"/>
    <w:rsid w:val="00EE4763"/>
    <w:rsid w:val="00EF449D"/>
    <w:rsid w:val="00F32868"/>
    <w:rsid w:val="00F339AF"/>
    <w:rsid w:val="00F5042D"/>
    <w:rsid w:val="00F66273"/>
    <w:rsid w:val="00F73E27"/>
    <w:rsid w:val="00F758B8"/>
    <w:rsid w:val="00F84310"/>
    <w:rsid w:val="00F85010"/>
    <w:rsid w:val="00FB1446"/>
    <w:rsid w:val="00FC3E63"/>
    <w:rsid w:val="00FC7DA8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1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5C"/>
    <w:pPr>
      <w:spacing w:line="240" w:lineRule="auto"/>
      <w:ind w:firstLine="709"/>
      <w:contextualSpacing/>
      <w:jc w:val="both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9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7DA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C7DA8"/>
  </w:style>
  <w:style w:type="paragraph" w:styleId="Pieddepage">
    <w:name w:val="footer"/>
    <w:basedOn w:val="Normal"/>
    <w:link w:val="PieddepageCar"/>
    <w:uiPriority w:val="99"/>
    <w:unhideWhenUsed/>
    <w:rsid w:val="00FC7DA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C7DA8"/>
  </w:style>
  <w:style w:type="paragraph" w:styleId="Pardeliste">
    <w:name w:val="List Paragraph"/>
    <w:basedOn w:val="Normal"/>
    <w:uiPriority w:val="34"/>
    <w:qFormat/>
    <w:rsid w:val="00344149"/>
    <w:pPr>
      <w:ind w:left="720"/>
    </w:pPr>
  </w:style>
  <w:style w:type="paragraph" w:styleId="Notedebasdepage">
    <w:name w:val="footnote text"/>
    <w:basedOn w:val="Normal"/>
    <w:link w:val="NotedebasdepageCar"/>
    <w:uiPriority w:val="99"/>
    <w:unhideWhenUsed/>
    <w:rsid w:val="00463483"/>
    <w:pPr>
      <w:spacing w:after="0"/>
    </w:pPr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63483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463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DD491-4B32-F443-B89D-A2F05C37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4985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Mairesse F</dc:creator>
  <cp:lastModifiedBy>Utilisateur de Microsoft Office</cp:lastModifiedBy>
  <cp:revision>2</cp:revision>
  <dcterms:created xsi:type="dcterms:W3CDTF">2016-10-09T06:47:00Z</dcterms:created>
  <dcterms:modified xsi:type="dcterms:W3CDTF">2016-10-09T06:47:00Z</dcterms:modified>
</cp:coreProperties>
</file>