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AA" w:rsidRPr="000211AA" w:rsidRDefault="000211AA" w:rsidP="000211AA">
      <w:pPr>
        <w:pStyle w:val="Titre"/>
      </w:pPr>
      <w:r>
        <w:rPr>
          <w:noProof/>
          <w:lang w:eastAsia="fr-FR"/>
        </w:rPr>
        <w:drawing>
          <wp:inline distT="0" distB="0" distL="0" distR="0">
            <wp:extent cx="900000" cy="720000"/>
            <wp:effectExtent l="19050" t="0" r="0" b="0"/>
            <wp:docPr id="1" name="Image 0" descr="logo 2c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cm .jpg"/>
                    <pic:cNvPicPr/>
                  </pic:nvPicPr>
                  <pic:blipFill>
                    <a:blip r:embed="rId9" cstate="print"/>
                    <a:stretch>
                      <a:fillRect/>
                    </a:stretch>
                  </pic:blipFill>
                  <pic:spPr>
                    <a:xfrm>
                      <a:off x="0" y="0"/>
                      <a:ext cx="900000" cy="720000"/>
                    </a:xfrm>
                    <a:prstGeom prst="rect">
                      <a:avLst/>
                    </a:prstGeom>
                  </pic:spPr>
                </pic:pic>
              </a:graphicData>
            </a:graphic>
          </wp:inline>
        </w:drawing>
      </w:r>
    </w:p>
    <w:p w:rsidR="004C3E9B" w:rsidRDefault="002C0189" w:rsidP="001D614C">
      <w:pPr>
        <w:pStyle w:val="Titre"/>
      </w:pPr>
      <w:r>
        <w:t>Résumé public</w:t>
      </w:r>
      <w:r w:rsidR="002628CC">
        <w:t xml:space="preserve"> : </w:t>
      </w:r>
    </w:p>
    <w:p w:rsidR="002628CC" w:rsidRDefault="002628CC" w:rsidP="002628CC">
      <w:pPr>
        <w:pStyle w:val="Standard"/>
        <w:spacing w:line="360" w:lineRule="auto"/>
        <w:jc w:val="both"/>
        <w:rPr>
          <w:i/>
          <w:iCs/>
          <w:sz w:val="22"/>
          <w:szCs w:val="22"/>
        </w:rPr>
      </w:pPr>
      <w:r w:rsidRPr="002628CC">
        <w:rPr>
          <w:i/>
          <w:iCs/>
          <w:sz w:val="22"/>
          <w:szCs w:val="22"/>
        </w:rPr>
        <w:t>Corrélation entre prosodie et mémoire de travail chez les SEP : une étude perceptive.</w:t>
      </w:r>
    </w:p>
    <w:p w:rsidR="002628CC" w:rsidRDefault="002628CC" w:rsidP="002628CC">
      <w:pPr>
        <w:pStyle w:val="Standard"/>
        <w:spacing w:line="360" w:lineRule="auto"/>
        <w:jc w:val="both"/>
        <w:rPr>
          <w:i/>
          <w:iCs/>
          <w:sz w:val="22"/>
          <w:szCs w:val="22"/>
        </w:rPr>
      </w:pPr>
      <w:r w:rsidRPr="002628CC">
        <w:rPr>
          <w:i/>
          <w:iCs/>
          <w:sz w:val="22"/>
          <w:szCs w:val="22"/>
        </w:rPr>
        <w:t xml:space="preserve">Monique </w:t>
      </w:r>
      <w:proofErr w:type="spellStart"/>
      <w:r w:rsidRPr="002628CC">
        <w:rPr>
          <w:i/>
          <w:iCs/>
          <w:sz w:val="22"/>
          <w:szCs w:val="22"/>
        </w:rPr>
        <w:t>Roure</w:t>
      </w:r>
      <w:proofErr w:type="spellEnd"/>
      <w:r w:rsidRPr="002628CC">
        <w:rPr>
          <w:i/>
          <w:iCs/>
          <w:sz w:val="22"/>
          <w:szCs w:val="22"/>
        </w:rPr>
        <w:t xml:space="preserve">, </w:t>
      </w:r>
      <w:proofErr w:type="spellStart"/>
      <w:r w:rsidRPr="002628CC">
        <w:rPr>
          <w:i/>
          <w:iCs/>
          <w:sz w:val="22"/>
          <w:szCs w:val="22"/>
        </w:rPr>
        <w:t>Caterina</w:t>
      </w:r>
      <w:proofErr w:type="spellEnd"/>
      <w:r w:rsidRPr="002628CC">
        <w:rPr>
          <w:i/>
          <w:iCs/>
          <w:sz w:val="22"/>
          <w:szCs w:val="22"/>
        </w:rPr>
        <w:t xml:space="preserve"> </w:t>
      </w:r>
      <w:proofErr w:type="spellStart"/>
      <w:r w:rsidRPr="002628CC">
        <w:rPr>
          <w:i/>
          <w:iCs/>
          <w:sz w:val="22"/>
          <w:szCs w:val="22"/>
        </w:rPr>
        <w:t>Petrone</w:t>
      </w:r>
      <w:proofErr w:type="spellEnd"/>
      <w:r w:rsidRPr="002628CC">
        <w:rPr>
          <w:i/>
          <w:iCs/>
          <w:sz w:val="22"/>
          <w:szCs w:val="22"/>
        </w:rPr>
        <w:t>(LPL)</w:t>
      </w:r>
    </w:p>
    <w:p w:rsidR="002628CC" w:rsidRDefault="002628CC" w:rsidP="002628CC">
      <w:pPr>
        <w:pStyle w:val="Standard"/>
        <w:spacing w:line="360" w:lineRule="auto"/>
        <w:jc w:val="both"/>
        <w:rPr>
          <w:i/>
          <w:iCs/>
          <w:sz w:val="22"/>
          <w:szCs w:val="22"/>
        </w:rPr>
      </w:pPr>
    </w:p>
    <w:p w:rsidR="002628CC" w:rsidRPr="002628CC" w:rsidRDefault="002628CC" w:rsidP="002628CC">
      <w:pPr>
        <w:pStyle w:val="Standard"/>
        <w:spacing w:line="360" w:lineRule="auto"/>
        <w:jc w:val="both"/>
        <w:rPr>
          <w:sz w:val="22"/>
          <w:szCs w:val="22"/>
          <w:lang w:val="en-US"/>
        </w:rPr>
      </w:pPr>
      <w:r w:rsidRPr="002628CC">
        <w:rPr>
          <w:i/>
          <w:iCs/>
          <w:sz w:val="22"/>
          <w:szCs w:val="22"/>
        </w:rPr>
        <w:t>Introduction</w:t>
      </w:r>
      <w:r w:rsidRPr="002628CC">
        <w:rPr>
          <w:sz w:val="22"/>
          <w:szCs w:val="22"/>
        </w:rPr>
        <w:t>. La mémoire de travail, MDT, a été définie comme un ensemble de processus ayant pour fonction de maintenir temporairement des informations pendant la réalisation de  tâches cognitives diverses  (</w:t>
      </w:r>
      <w:proofErr w:type="spellStart"/>
      <w:r w:rsidRPr="002628CC">
        <w:rPr>
          <w:sz w:val="22"/>
          <w:szCs w:val="22"/>
        </w:rPr>
        <w:t>Baddeley</w:t>
      </w:r>
      <w:proofErr w:type="spellEnd"/>
      <w:r w:rsidRPr="002628CC">
        <w:rPr>
          <w:sz w:val="22"/>
          <w:szCs w:val="22"/>
        </w:rPr>
        <w:t xml:space="preserve"> et Hitch, 1974). Différents modèles de la MDT ont été développés (</w:t>
      </w:r>
      <w:proofErr w:type="spellStart"/>
      <w:r w:rsidRPr="002628CC">
        <w:rPr>
          <w:sz w:val="22"/>
          <w:szCs w:val="22"/>
        </w:rPr>
        <w:t>Baddeley</w:t>
      </w:r>
      <w:proofErr w:type="spellEnd"/>
      <w:r w:rsidRPr="002628CC">
        <w:rPr>
          <w:sz w:val="22"/>
          <w:szCs w:val="22"/>
        </w:rPr>
        <w:t xml:space="preserve">, 1986, 2000 ; Cowan, 1999). </w:t>
      </w:r>
      <w:r w:rsidRPr="002628CC">
        <w:rPr>
          <w:color w:val="000000"/>
          <w:sz w:val="22"/>
          <w:szCs w:val="22"/>
        </w:rPr>
        <w:t>Des auteurs ont cherché a établir si la MDT avait un impact sur la production de la parole (</w:t>
      </w:r>
      <w:proofErr w:type="spellStart"/>
      <w:r w:rsidRPr="002628CC">
        <w:rPr>
          <w:color w:val="000000"/>
          <w:sz w:val="22"/>
          <w:szCs w:val="22"/>
        </w:rPr>
        <w:t>Swets</w:t>
      </w:r>
      <w:proofErr w:type="spellEnd"/>
      <w:r w:rsidRPr="002628CC">
        <w:rPr>
          <w:color w:val="000000"/>
          <w:sz w:val="22"/>
          <w:szCs w:val="22"/>
        </w:rPr>
        <w:t xml:space="preserve"> </w:t>
      </w:r>
      <w:r w:rsidRPr="002628CC">
        <w:rPr>
          <w:i/>
          <w:iCs/>
          <w:color w:val="000000"/>
          <w:sz w:val="22"/>
          <w:szCs w:val="22"/>
        </w:rPr>
        <w:t>et al.</w:t>
      </w:r>
      <w:proofErr w:type="gramStart"/>
      <w:r w:rsidRPr="002628CC">
        <w:rPr>
          <w:i/>
          <w:iCs/>
          <w:color w:val="000000"/>
          <w:sz w:val="22"/>
          <w:szCs w:val="22"/>
        </w:rPr>
        <w:t>,</w:t>
      </w:r>
      <w:r w:rsidRPr="002628CC">
        <w:rPr>
          <w:color w:val="000000"/>
          <w:sz w:val="22"/>
          <w:szCs w:val="22"/>
        </w:rPr>
        <w:t>2007</w:t>
      </w:r>
      <w:proofErr w:type="gramEnd"/>
      <w:r w:rsidRPr="002628CC">
        <w:rPr>
          <w:color w:val="000000"/>
          <w:sz w:val="22"/>
          <w:szCs w:val="22"/>
        </w:rPr>
        <w:t xml:space="preserve"> ; </w:t>
      </w:r>
      <w:proofErr w:type="spellStart"/>
      <w:r w:rsidRPr="002628CC">
        <w:rPr>
          <w:color w:val="000000"/>
          <w:sz w:val="22"/>
          <w:szCs w:val="22"/>
        </w:rPr>
        <w:t>Petrone</w:t>
      </w:r>
      <w:proofErr w:type="spellEnd"/>
      <w:r w:rsidRPr="002628CC">
        <w:rPr>
          <w:color w:val="000000"/>
          <w:sz w:val="22"/>
          <w:szCs w:val="22"/>
        </w:rPr>
        <w:t xml:space="preserve"> </w:t>
      </w:r>
      <w:r w:rsidRPr="002628CC">
        <w:rPr>
          <w:i/>
          <w:iCs/>
          <w:color w:val="000000"/>
          <w:sz w:val="22"/>
          <w:szCs w:val="22"/>
        </w:rPr>
        <w:t xml:space="preserve">et al., </w:t>
      </w:r>
      <w:r w:rsidRPr="002628CC">
        <w:rPr>
          <w:color w:val="000000"/>
          <w:sz w:val="22"/>
          <w:szCs w:val="22"/>
        </w:rPr>
        <w:t>2013). Pour la perception, la continuité prosodique apporte une contribution significative à la compréhension de la parole (</w:t>
      </w:r>
      <w:proofErr w:type="spellStart"/>
      <w:r w:rsidRPr="002628CC">
        <w:rPr>
          <w:color w:val="000000"/>
          <w:sz w:val="22"/>
          <w:szCs w:val="22"/>
        </w:rPr>
        <w:t>Espesser</w:t>
      </w:r>
      <w:proofErr w:type="spellEnd"/>
      <w:r w:rsidRPr="002628CC">
        <w:rPr>
          <w:color w:val="000000"/>
          <w:sz w:val="22"/>
          <w:szCs w:val="22"/>
        </w:rPr>
        <w:t xml:space="preserve"> </w:t>
      </w:r>
      <w:r w:rsidRPr="002628CC">
        <w:rPr>
          <w:i/>
          <w:iCs/>
          <w:color w:val="000000"/>
          <w:sz w:val="22"/>
          <w:szCs w:val="22"/>
        </w:rPr>
        <w:t>et al</w:t>
      </w:r>
      <w:r w:rsidRPr="002628CC">
        <w:rPr>
          <w:color w:val="000000"/>
          <w:sz w:val="22"/>
          <w:szCs w:val="22"/>
        </w:rPr>
        <w:t xml:space="preserve">, 2001). </w:t>
      </w:r>
      <w:r w:rsidRPr="002628CC">
        <w:rPr>
          <w:sz w:val="22"/>
          <w:szCs w:val="22"/>
        </w:rPr>
        <w:t>Des auteurs montrent que la capacité de la MDT semble être altérée par des états psychopathologiques (</w:t>
      </w:r>
      <w:proofErr w:type="spellStart"/>
      <w:r w:rsidRPr="002628CC">
        <w:rPr>
          <w:sz w:val="22"/>
          <w:szCs w:val="22"/>
        </w:rPr>
        <w:t>Croisile</w:t>
      </w:r>
      <w:proofErr w:type="spellEnd"/>
      <w:r w:rsidRPr="002628CC">
        <w:rPr>
          <w:sz w:val="22"/>
          <w:szCs w:val="22"/>
        </w:rPr>
        <w:t xml:space="preserve"> </w:t>
      </w:r>
      <w:r w:rsidRPr="002628CC">
        <w:rPr>
          <w:i/>
          <w:iCs/>
          <w:sz w:val="22"/>
          <w:szCs w:val="22"/>
        </w:rPr>
        <w:t xml:space="preserve">et </w:t>
      </w:r>
      <w:proofErr w:type="gramStart"/>
      <w:r w:rsidRPr="002628CC">
        <w:rPr>
          <w:i/>
          <w:iCs/>
          <w:sz w:val="22"/>
          <w:szCs w:val="22"/>
        </w:rPr>
        <w:t>al</w:t>
      </w:r>
      <w:r w:rsidRPr="002628CC">
        <w:rPr>
          <w:sz w:val="22"/>
          <w:szCs w:val="22"/>
        </w:rPr>
        <w:t>.,</w:t>
      </w:r>
      <w:proofErr w:type="gramEnd"/>
      <w:r w:rsidRPr="002628CC">
        <w:rPr>
          <w:sz w:val="22"/>
          <w:szCs w:val="22"/>
        </w:rPr>
        <w:t xml:space="preserve"> 2010 ; Müller et Knight, 2006 ; </w:t>
      </w:r>
      <w:proofErr w:type="spellStart"/>
      <w:r w:rsidRPr="002628CC">
        <w:rPr>
          <w:sz w:val="22"/>
          <w:szCs w:val="22"/>
        </w:rPr>
        <w:t>Rosen</w:t>
      </w:r>
      <w:proofErr w:type="spellEnd"/>
      <w:r w:rsidRPr="002628CC">
        <w:rPr>
          <w:sz w:val="22"/>
          <w:szCs w:val="22"/>
        </w:rPr>
        <w:t xml:space="preserve"> </w:t>
      </w:r>
      <w:r w:rsidRPr="002628CC">
        <w:rPr>
          <w:i/>
          <w:iCs/>
          <w:sz w:val="22"/>
          <w:szCs w:val="22"/>
        </w:rPr>
        <w:t>et al.</w:t>
      </w:r>
      <w:r w:rsidRPr="002628CC">
        <w:rPr>
          <w:sz w:val="22"/>
          <w:szCs w:val="22"/>
        </w:rPr>
        <w:t xml:space="preserve">,2004 ; </w:t>
      </w:r>
      <w:proofErr w:type="spellStart"/>
      <w:r w:rsidRPr="002628CC">
        <w:rPr>
          <w:sz w:val="22"/>
          <w:szCs w:val="22"/>
        </w:rPr>
        <w:t>Matuszewski</w:t>
      </w:r>
      <w:proofErr w:type="spellEnd"/>
      <w:r w:rsidRPr="002628CC">
        <w:rPr>
          <w:sz w:val="22"/>
          <w:szCs w:val="22"/>
        </w:rPr>
        <w:t xml:space="preserve"> </w:t>
      </w:r>
      <w:r w:rsidRPr="002628CC">
        <w:rPr>
          <w:i/>
          <w:iCs/>
          <w:sz w:val="22"/>
          <w:szCs w:val="22"/>
        </w:rPr>
        <w:t>et al</w:t>
      </w:r>
      <w:r w:rsidRPr="002628CC">
        <w:rPr>
          <w:sz w:val="22"/>
          <w:szCs w:val="22"/>
        </w:rPr>
        <w:t xml:space="preserve">., 2005) d'où la place centrale que semble occuper la MDT dans la compréhension du fonctionnement cognitif normal et pathologique. </w:t>
      </w:r>
      <w:proofErr w:type="spellStart"/>
      <w:r w:rsidRPr="002628CC">
        <w:rPr>
          <w:sz w:val="22"/>
          <w:szCs w:val="22"/>
        </w:rPr>
        <w:t>Petrone</w:t>
      </w:r>
      <w:proofErr w:type="spellEnd"/>
      <w:r w:rsidRPr="002628CC">
        <w:rPr>
          <w:sz w:val="22"/>
          <w:szCs w:val="22"/>
        </w:rPr>
        <w:t xml:space="preserve"> </w:t>
      </w:r>
      <w:r w:rsidRPr="002628CC">
        <w:rPr>
          <w:i/>
          <w:iCs/>
          <w:sz w:val="22"/>
          <w:szCs w:val="22"/>
        </w:rPr>
        <w:t>et al</w:t>
      </w:r>
      <w:r w:rsidRPr="002628CC">
        <w:rPr>
          <w:sz w:val="22"/>
          <w:szCs w:val="22"/>
        </w:rPr>
        <w:t xml:space="preserve">. (2013) ont suggéré une corrélation entre la MDT et la fluence verbale chez les sujets atteints de sclérose en plaques (SEP), </w:t>
      </w:r>
      <w:r w:rsidRPr="002628CC">
        <w:rPr>
          <w:color w:val="000000"/>
          <w:sz w:val="22"/>
          <w:szCs w:val="22"/>
        </w:rPr>
        <w:t xml:space="preserve">maladie auto-immune du système nerveux central. </w:t>
      </w:r>
      <w:r w:rsidRPr="002628CC">
        <w:rPr>
          <w:sz w:val="22"/>
          <w:szCs w:val="22"/>
        </w:rPr>
        <w:tab/>
      </w:r>
      <w:r w:rsidRPr="002628CC">
        <w:rPr>
          <w:i/>
          <w:iCs/>
          <w:sz w:val="22"/>
          <w:szCs w:val="22"/>
        </w:rPr>
        <w:t xml:space="preserve">Objectifs. </w:t>
      </w:r>
      <w:r w:rsidRPr="002628CC">
        <w:rPr>
          <w:sz w:val="22"/>
          <w:szCs w:val="22"/>
        </w:rPr>
        <w:t xml:space="preserve">Est-ce que la perception de la prosodie est différente selon qu'elle est produite par des locuteurs SEP  vs sains ? Y-a-t-il une corrélation entre la </w:t>
      </w:r>
      <w:proofErr w:type="spellStart"/>
      <w:r w:rsidRPr="002628CC">
        <w:rPr>
          <w:sz w:val="22"/>
          <w:szCs w:val="22"/>
        </w:rPr>
        <w:t>disfluence</w:t>
      </w:r>
      <w:proofErr w:type="spellEnd"/>
      <w:r w:rsidRPr="002628CC">
        <w:rPr>
          <w:sz w:val="22"/>
          <w:szCs w:val="22"/>
        </w:rPr>
        <w:t xml:space="preserve"> verbale et la MDT ? Un trouble de la prosodie aurait un impact sur la perception (compréhension et fluidité d'une phrase). Le temps de réponse (TR) des auditeurs serait plus rapide dans le jugement des locuteurs sains car ils ne font pas de </w:t>
      </w:r>
      <w:proofErr w:type="spellStart"/>
      <w:r w:rsidRPr="002628CC">
        <w:rPr>
          <w:sz w:val="22"/>
          <w:szCs w:val="22"/>
        </w:rPr>
        <w:t>disfluences</w:t>
      </w:r>
      <w:proofErr w:type="spellEnd"/>
      <w:r w:rsidRPr="002628CC">
        <w:rPr>
          <w:sz w:val="22"/>
          <w:szCs w:val="22"/>
        </w:rPr>
        <w:t xml:space="preserve">. </w:t>
      </w:r>
      <w:r w:rsidRPr="002628CC">
        <w:rPr>
          <w:i/>
          <w:iCs/>
          <w:sz w:val="22"/>
          <w:szCs w:val="22"/>
        </w:rPr>
        <w:t xml:space="preserve">Méthode. </w:t>
      </w:r>
      <w:r w:rsidRPr="002628CC">
        <w:rPr>
          <w:sz w:val="22"/>
          <w:szCs w:val="22"/>
        </w:rPr>
        <w:t xml:space="preserve">L'étude a porté sur le jugement de 25 auditeurs sains à l'écoute de 30 locuteurs (sains ou SEP, 15 contrôles et 15 SEP, sans dysarthrie).Trois sous-groupes, chez les locuteurs, ont été établis, en fonction de leur score en MDT. Le jugement devra être porté le plus rapidement possible. </w:t>
      </w:r>
      <w:r w:rsidRPr="002628CC">
        <w:rPr>
          <w:i/>
          <w:iCs/>
          <w:sz w:val="22"/>
          <w:szCs w:val="22"/>
        </w:rPr>
        <w:t>Résultats.</w:t>
      </w:r>
      <w:r w:rsidRPr="002628CC">
        <w:rPr>
          <w:sz w:val="22"/>
          <w:szCs w:val="22"/>
        </w:rPr>
        <w:t xml:space="preserve"> Lorsque la MDT est faible, les résultats montrent une différence, les auditeurs évaluent plus négativement la compréhension chez les locuteurs SEP que chez les locuteurs contrôle. Lorsque la MDT est intermédiaire ou faible, les auditeurs évaluent plus négativement la fluidité  pour les locuteurs SEP que pour les locuteurs contrôles. Au niveau des TR, les auditeurs mettent plus de temps pour juger les SEP avec une MDT faible. </w:t>
      </w:r>
      <w:r w:rsidRPr="002628CC">
        <w:rPr>
          <w:i/>
          <w:iCs/>
          <w:color w:val="000000"/>
          <w:sz w:val="22"/>
          <w:szCs w:val="22"/>
        </w:rPr>
        <w:t>Conclusions/perspectives</w:t>
      </w:r>
      <w:r w:rsidRPr="002628CC">
        <w:rPr>
          <w:color w:val="000000"/>
          <w:sz w:val="22"/>
          <w:szCs w:val="22"/>
        </w:rPr>
        <w:t>. Les auditeurs ne discriminent pas les locuteurs contrôle et SEP ayant un empan élevé en MDT. Cela pourrait s'expliquer par un mécanisme de compensation qui pourrait masquer les déficits de la MDT à un stade précoce de la maladie. Il serait intéressant de poursuivre cette étude en choisissant des locuteurs SEP à divers stades de la maladie et en proposant des tâches plus complexes. Ces résultats confirment que la corrélation entre MDT et planification de la prosodie (</w:t>
      </w:r>
      <w:proofErr w:type="spellStart"/>
      <w:r w:rsidRPr="002628CC">
        <w:rPr>
          <w:color w:val="000000"/>
          <w:sz w:val="22"/>
          <w:szCs w:val="22"/>
        </w:rPr>
        <w:t>Petrone</w:t>
      </w:r>
      <w:proofErr w:type="spellEnd"/>
      <w:r w:rsidRPr="002628CC">
        <w:rPr>
          <w:color w:val="000000"/>
          <w:sz w:val="22"/>
          <w:szCs w:val="22"/>
        </w:rPr>
        <w:t xml:space="preserve"> et </w:t>
      </w:r>
      <w:proofErr w:type="gramStart"/>
      <w:r w:rsidRPr="002628CC">
        <w:rPr>
          <w:color w:val="000000"/>
          <w:sz w:val="22"/>
          <w:szCs w:val="22"/>
        </w:rPr>
        <w:t>al.,</w:t>
      </w:r>
      <w:proofErr w:type="gramEnd"/>
      <w:r w:rsidRPr="002628CC">
        <w:rPr>
          <w:color w:val="000000"/>
          <w:sz w:val="22"/>
          <w:szCs w:val="22"/>
        </w:rPr>
        <w:t xml:space="preserve"> 2013) a un impact sur la perception. L'hypothèse  que le temps de réponse des auditeurs serait plus rapide dans le jugement des locuteurs sains est confirmée car ils ne produisent pas de </w:t>
      </w:r>
      <w:proofErr w:type="spellStart"/>
      <w:r w:rsidRPr="002628CC">
        <w:rPr>
          <w:color w:val="000000"/>
          <w:sz w:val="22"/>
          <w:szCs w:val="22"/>
        </w:rPr>
        <w:lastRenderedPageBreak/>
        <w:t>disfluences</w:t>
      </w:r>
      <w:proofErr w:type="spellEnd"/>
      <w:r w:rsidRPr="002628CC">
        <w:rPr>
          <w:color w:val="000000"/>
          <w:sz w:val="22"/>
          <w:szCs w:val="22"/>
        </w:rPr>
        <w:t xml:space="preserve"> (</w:t>
      </w:r>
      <w:proofErr w:type="spellStart"/>
      <w:r w:rsidRPr="002628CC">
        <w:rPr>
          <w:color w:val="000000"/>
          <w:sz w:val="22"/>
          <w:szCs w:val="22"/>
        </w:rPr>
        <w:t>Petrone</w:t>
      </w:r>
      <w:proofErr w:type="spellEnd"/>
      <w:r w:rsidRPr="002628CC">
        <w:rPr>
          <w:color w:val="000000"/>
          <w:sz w:val="22"/>
          <w:szCs w:val="22"/>
        </w:rPr>
        <w:t xml:space="preserve"> et </w:t>
      </w:r>
      <w:proofErr w:type="gramStart"/>
      <w:r w:rsidRPr="002628CC">
        <w:rPr>
          <w:color w:val="000000"/>
          <w:sz w:val="22"/>
          <w:szCs w:val="22"/>
        </w:rPr>
        <w:t>al.,</w:t>
      </w:r>
      <w:proofErr w:type="gramEnd"/>
      <w:r w:rsidRPr="002628CC">
        <w:rPr>
          <w:color w:val="000000"/>
          <w:sz w:val="22"/>
          <w:szCs w:val="22"/>
        </w:rPr>
        <w:t xml:space="preserve"> 2013). Il serait intéressant de poursuivre cette étude avec des auditeurs atteints de sclérose en plaques, et d'augmenter le nombre de participants. Cette étude n'offre pas un intérêt clinique puisque n'apportant pas une solution thérapeutique. </w:t>
      </w:r>
      <w:r w:rsidRPr="002628CC">
        <w:rPr>
          <w:color w:val="000000"/>
          <w:sz w:val="22"/>
          <w:szCs w:val="22"/>
          <w:lang w:val="en-US"/>
        </w:rPr>
        <w:t xml:space="preserve">Elle </w:t>
      </w:r>
      <w:proofErr w:type="spellStart"/>
      <w:r w:rsidRPr="002628CC">
        <w:rPr>
          <w:color w:val="000000"/>
          <w:sz w:val="22"/>
          <w:szCs w:val="22"/>
          <w:lang w:val="en-US"/>
        </w:rPr>
        <w:t>présente</w:t>
      </w:r>
      <w:proofErr w:type="spellEnd"/>
      <w:r w:rsidRPr="002628CC">
        <w:rPr>
          <w:color w:val="000000"/>
          <w:sz w:val="22"/>
          <w:szCs w:val="22"/>
          <w:lang w:val="en-US"/>
        </w:rPr>
        <w:t xml:space="preserve"> </w:t>
      </w:r>
      <w:proofErr w:type="spellStart"/>
      <w:r w:rsidRPr="002628CC">
        <w:rPr>
          <w:color w:val="000000"/>
          <w:sz w:val="22"/>
          <w:szCs w:val="22"/>
          <w:lang w:val="en-US"/>
        </w:rPr>
        <w:t>néanmoins</w:t>
      </w:r>
      <w:proofErr w:type="spellEnd"/>
      <w:r w:rsidRPr="002628CC">
        <w:rPr>
          <w:color w:val="000000"/>
          <w:sz w:val="22"/>
          <w:szCs w:val="22"/>
          <w:lang w:val="en-US"/>
        </w:rPr>
        <w:t xml:space="preserve"> </w:t>
      </w:r>
      <w:proofErr w:type="gramStart"/>
      <w:r w:rsidRPr="002628CC">
        <w:rPr>
          <w:color w:val="000000"/>
          <w:sz w:val="22"/>
          <w:szCs w:val="22"/>
          <w:lang w:val="en-US"/>
        </w:rPr>
        <w:t>un</w:t>
      </w:r>
      <w:proofErr w:type="gramEnd"/>
      <w:r w:rsidRPr="002628CC">
        <w:rPr>
          <w:color w:val="000000"/>
          <w:sz w:val="22"/>
          <w:szCs w:val="22"/>
          <w:lang w:val="en-US"/>
        </w:rPr>
        <w:t xml:space="preserve"> </w:t>
      </w:r>
      <w:proofErr w:type="spellStart"/>
      <w:r w:rsidRPr="002628CC">
        <w:rPr>
          <w:color w:val="000000"/>
          <w:sz w:val="22"/>
          <w:szCs w:val="22"/>
          <w:lang w:val="en-US"/>
        </w:rPr>
        <w:t>intérêt</w:t>
      </w:r>
      <w:proofErr w:type="spellEnd"/>
      <w:r w:rsidRPr="002628CC">
        <w:rPr>
          <w:color w:val="000000"/>
          <w:sz w:val="22"/>
          <w:szCs w:val="22"/>
          <w:lang w:val="en-US"/>
        </w:rPr>
        <w:t xml:space="preserve"> </w:t>
      </w:r>
      <w:proofErr w:type="spellStart"/>
      <w:r w:rsidRPr="002628CC">
        <w:rPr>
          <w:color w:val="000000"/>
          <w:sz w:val="22"/>
          <w:szCs w:val="22"/>
          <w:lang w:val="en-US"/>
        </w:rPr>
        <w:t>scientifique</w:t>
      </w:r>
      <w:proofErr w:type="spellEnd"/>
      <w:r w:rsidRPr="002628CC">
        <w:rPr>
          <w:color w:val="000000"/>
          <w:sz w:val="22"/>
          <w:szCs w:val="22"/>
          <w:lang w:val="en-US"/>
        </w:rPr>
        <w:t>.</w:t>
      </w:r>
    </w:p>
    <w:p w:rsidR="002628CC" w:rsidRPr="002628CC" w:rsidRDefault="002628CC" w:rsidP="002628CC">
      <w:pPr>
        <w:pStyle w:val="Textbody"/>
        <w:spacing w:after="0" w:line="360" w:lineRule="auto"/>
        <w:jc w:val="both"/>
        <w:rPr>
          <w:sz w:val="22"/>
          <w:szCs w:val="22"/>
          <w:lang w:val="en-US"/>
        </w:rPr>
      </w:pPr>
      <w:r w:rsidRPr="002628CC">
        <w:rPr>
          <w:b/>
          <w:bCs/>
          <w:color w:val="000000"/>
          <w:sz w:val="22"/>
          <w:szCs w:val="22"/>
          <w:lang w:val="en-US"/>
        </w:rPr>
        <w:t>Abstract</w:t>
      </w:r>
      <w:r w:rsidRPr="002628CC">
        <w:rPr>
          <w:color w:val="000000"/>
          <w:sz w:val="22"/>
          <w:szCs w:val="22"/>
          <w:lang w:val="en-US"/>
        </w:rPr>
        <w:t>.</w:t>
      </w:r>
    </w:p>
    <w:p w:rsidR="002628CC" w:rsidRPr="002628CC" w:rsidRDefault="002628CC" w:rsidP="002628CC">
      <w:pPr>
        <w:pStyle w:val="Textbody"/>
        <w:spacing w:after="0" w:line="360" w:lineRule="auto"/>
        <w:jc w:val="both"/>
        <w:rPr>
          <w:sz w:val="22"/>
          <w:szCs w:val="22"/>
        </w:rPr>
      </w:pPr>
      <w:proofErr w:type="gramStart"/>
      <w:r w:rsidRPr="002628CC">
        <w:rPr>
          <w:i/>
          <w:iCs/>
          <w:color w:val="000000"/>
          <w:sz w:val="22"/>
          <w:szCs w:val="22"/>
          <w:lang w:val="en-US"/>
        </w:rPr>
        <w:t>Introduction</w:t>
      </w:r>
      <w:r w:rsidRPr="002628CC">
        <w:rPr>
          <w:color w:val="000000"/>
          <w:sz w:val="22"/>
          <w:szCs w:val="22"/>
          <w:lang w:val="en-US"/>
        </w:rPr>
        <w:t>.</w:t>
      </w:r>
      <w:proofErr w:type="gramEnd"/>
      <w:r w:rsidRPr="002628CC">
        <w:rPr>
          <w:color w:val="000000"/>
          <w:sz w:val="22"/>
          <w:szCs w:val="22"/>
          <w:lang w:val="en-US"/>
        </w:rPr>
        <w:t xml:space="preserve"> Working memory was defined as a set of processes whose function is to temporarily hold information while performing various cognitive tasks (</w:t>
      </w:r>
      <w:proofErr w:type="spellStart"/>
      <w:r w:rsidRPr="002628CC">
        <w:rPr>
          <w:color w:val="000000"/>
          <w:sz w:val="22"/>
          <w:szCs w:val="22"/>
          <w:lang w:val="en-US"/>
        </w:rPr>
        <w:t>Baddeley</w:t>
      </w:r>
      <w:proofErr w:type="spellEnd"/>
      <w:r w:rsidRPr="002628CC">
        <w:rPr>
          <w:color w:val="000000"/>
          <w:sz w:val="22"/>
          <w:szCs w:val="22"/>
          <w:lang w:val="en-US"/>
        </w:rPr>
        <w:t xml:space="preserve"> and Hitch, 1974). Different models have been developed working memory (</w:t>
      </w:r>
      <w:proofErr w:type="spellStart"/>
      <w:r w:rsidRPr="002628CC">
        <w:rPr>
          <w:color w:val="000000"/>
          <w:sz w:val="22"/>
          <w:szCs w:val="22"/>
          <w:lang w:val="en-US"/>
        </w:rPr>
        <w:t>Baddeley</w:t>
      </w:r>
      <w:proofErr w:type="spellEnd"/>
      <w:r w:rsidRPr="002628CC">
        <w:rPr>
          <w:color w:val="000000"/>
          <w:sz w:val="22"/>
          <w:szCs w:val="22"/>
          <w:lang w:val="en-US"/>
        </w:rPr>
        <w:t>, 1986, 2000, Cowan, 1999). Some authors have sought to determine whether the working memory had an impact on speech production (</w:t>
      </w:r>
      <w:proofErr w:type="spellStart"/>
      <w:r w:rsidRPr="002628CC">
        <w:rPr>
          <w:color w:val="000000"/>
          <w:sz w:val="22"/>
          <w:szCs w:val="22"/>
          <w:lang w:val="en-US"/>
        </w:rPr>
        <w:t>Swets</w:t>
      </w:r>
      <w:proofErr w:type="spellEnd"/>
      <w:r w:rsidRPr="002628CC">
        <w:rPr>
          <w:color w:val="000000"/>
          <w:sz w:val="22"/>
          <w:szCs w:val="22"/>
          <w:lang w:val="en-US"/>
        </w:rPr>
        <w:t xml:space="preserve"> and al., </w:t>
      </w:r>
      <w:proofErr w:type="gramStart"/>
      <w:r w:rsidRPr="002628CC">
        <w:rPr>
          <w:color w:val="000000"/>
          <w:sz w:val="22"/>
          <w:szCs w:val="22"/>
          <w:lang w:val="en-US"/>
        </w:rPr>
        <w:t>2007 ;</w:t>
      </w:r>
      <w:proofErr w:type="gramEnd"/>
      <w:r w:rsidRPr="002628CC">
        <w:rPr>
          <w:color w:val="000000"/>
          <w:sz w:val="22"/>
          <w:szCs w:val="22"/>
          <w:lang w:val="en-US"/>
        </w:rPr>
        <w:t xml:space="preserve"> </w:t>
      </w:r>
      <w:proofErr w:type="spellStart"/>
      <w:r w:rsidRPr="002628CC">
        <w:rPr>
          <w:color w:val="000000"/>
          <w:sz w:val="22"/>
          <w:szCs w:val="22"/>
          <w:lang w:val="en-US"/>
        </w:rPr>
        <w:t>Petrone</w:t>
      </w:r>
      <w:proofErr w:type="spellEnd"/>
      <w:r w:rsidRPr="002628CC">
        <w:rPr>
          <w:color w:val="000000"/>
          <w:sz w:val="22"/>
          <w:szCs w:val="22"/>
          <w:lang w:val="en-US"/>
        </w:rPr>
        <w:t xml:space="preserve"> and al., 2013). For perception, prosodic continuity makes a significant contribution to the understanding of speech (</w:t>
      </w:r>
      <w:proofErr w:type="spellStart"/>
      <w:r w:rsidRPr="002628CC">
        <w:rPr>
          <w:color w:val="000000"/>
          <w:sz w:val="22"/>
          <w:szCs w:val="22"/>
          <w:lang w:val="en-US"/>
        </w:rPr>
        <w:t>Espesser</w:t>
      </w:r>
      <w:proofErr w:type="spellEnd"/>
      <w:r w:rsidRPr="002628CC">
        <w:rPr>
          <w:color w:val="000000"/>
          <w:sz w:val="22"/>
          <w:szCs w:val="22"/>
          <w:lang w:val="en-US"/>
        </w:rPr>
        <w:t xml:space="preserve"> and al, 2001). Authors show that the capacity of working memory appears to be altered by </w:t>
      </w:r>
      <w:proofErr w:type="spellStart"/>
      <w:r w:rsidRPr="002628CC">
        <w:rPr>
          <w:color w:val="000000"/>
          <w:sz w:val="22"/>
          <w:szCs w:val="22"/>
          <w:lang w:val="en-US"/>
        </w:rPr>
        <w:t>psychopatological</w:t>
      </w:r>
      <w:proofErr w:type="spellEnd"/>
      <w:r w:rsidRPr="002628CC">
        <w:rPr>
          <w:color w:val="000000"/>
          <w:sz w:val="22"/>
          <w:szCs w:val="22"/>
          <w:lang w:val="en-US"/>
        </w:rPr>
        <w:t xml:space="preserve"> states (</w:t>
      </w:r>
      <w:proofErr w:type="spellStart"/>
      <w:r w:rsidRPr="002628CC">
        <w:rPr>
          <w:color w:val="000000"/>
          <w:sz w:val="22"/>
          <w:szCs w:val="22"/>
          <w:lang w:val="en-US"/>
        </w:rPr>
        <w:t>Croisile</w:t>
      </w:r>
      <w:proofErr w:type="spellEnd"/>
      <w:r w:rsidRPr="002628CC">
        <w:rPr>
          <w:color w:val="000000"/>
          <w:sz w:val="22"/>
          <w:szCs w:val="22"/>
          <w:lang w:val="en-US"/>
        </w:rPr>
        <w:t xml:space="preserve"> and al, </w:t>
      </w:r>
      <w:proofErr w:type="gramStart"/>
      <w:r w:rsidRPr="002628CC">
        <w:rPr>
          <w:color w:val="000000"/>
          <w:sz w:val="22"/>
          <w:szCs w:val="22"/>
          <w:lang w:val="en-US"/>
        </w:rPr>
        <w:t>2010 ;</w:t>
      </w:r>
      <w:proofErr w:type="gramEnd"/>
      <w:r w:rsidRPr="002628CC">
        <w:rPr>
          <w:color w:val="000000"/>
          <w:sz w:val="22"/>
          <w:szCs w:val="22"/>
          <w:lang w:val="en-US"/>
        </w:rPr>
        <w:t xml:space="preserve"> </w:t>
      </w:r>
      <w:proofErr w:type="spellStart"/>
      <w:r w:rsidRPr="002628CC">
        <w:rPr>
          <w:color w:val="000000"/>
          <w:sz w:val="22"/>
          <w:szCs w:val="22"/>
          <w:lang w:val="en-US"/>
        </w:rPr>
        <w:t>Müller</w:t>
      </w:r>
      <w:proofErr w:type="spellEnd"/>
      <w:r w:rsidRPr="002628CC">
        <w:rPr>
          <w:color w:val="000000"/>
          <w:sz w:val="22"/>
          <w:szCs w:val="22"/>
          <w:lang w:val="en-US"/>
        </w:rPr>
        <w:t xml:space="preserve"> and Knight, 2006 ; Rosen and al., 2004 ; </w:t>
      </w:r>
      <w:proofErr w:type="spellStart"/>
      <w:r w:rsidRPr="002628CC">
        <w:rPr>
          <w:color w:val="000000"/>
          <w:sz w:val="22"/>
          <w:szCs w:val="22"/>
          <w:lang w:val="en-US"/>
        </w:rPr>
        <w:t>Matuszewisk</w:t>
      </w:r>
      <w:proofErr w:type="spellEnd"/>
      <w:r w:rsidRPr="002628CC">
        <w:rPr>
          <w:color w:val="000000"/>
          <w:sz w:val="22"/>
          <w:szCs w:val="22"/>
          <w:lang w:val="en-US"/>
        </w:rPr>
        <w:t xml:space="preserve"> and al., 2005)where the central that seems to occupy working memory in the understanding of normal and pathological cognitive functioning. </w:t>
      </w:r>
      <w:proofErr w:type="spellStart"/>
      <w:r w:rsidRPr="002628CC">
        <w:rPr>
          <w:color w:val="000000"/>
          <w:sz w:val="22"/>
          <w:szCs w:val="22"/>
          <w:lang w:val="en-US"/>
        </w:rPr>
        <w:t>Petrone</w:t>
      </w:r>
      <w:proofErr w:type="spellEnd"/>
      <w:r w:rsidRPr="002628CC">
        <w:rPr>
          <w:color w:val="000000"/>
          <w:sz w:val="22"/>
          <w:szCs w:val="22"/>
          <w:lang w:val="en-US"/>
        </w:rPr>
        <w:t xml:space="preserve"> and al., suggested a correlation between working memory and verbal fluency in subjects with multiple sclerosis (MS), an autoimmune disease </w:t>
      </w:r>
      <w:proofErr w:type="gramStart"/>
      <w:r w:rsidRPr="002628CC">
        <w:rPr>
          <w:color w:val="000000"/>
          <w:sz w:val="22"/>
          <w:szCs w:val="22"/>
          <w:lang w:val="en-US"/>
        </w:rPr>
        <w:t>of  the</w:t>
      </w:r>
      <w:proofErr w:type="gramEnd"/>
      <w:r w:rsidRPr="002628CC">
        <w:rPr>
          <w:color w:val="000000"/>
          <w:sz w:val="22"/>
          <w:szCs w:val="22"/>
          <w:lang w:val="en-US"/>
        </w:rPr>
        <w:t xml:space="preserve"> central nervous system. </w:t>
      </w:r>
      <w:proofErr w:type="gramStart"/>
      <w:r w:rsidRPr="002628CC">
        <w:rPr>
          <w:i/>
          <w:iCs/>
          <w:color w:val="000000"/>
          <w:sz w:val="22"/>
          <w:szCs w:val="22"/>
          <w:lang w:val="en-US"/>
        </w:rPr>
        <w:t>Objectives</w:t>
      </w:r>
      <w:r w:rsidRPr="002628CC">
        <w:rPr>
          <w:color w:val="000000"/>
          <w:sz w:val="22"/>
          <w:szCs w:val="22"/>
          <w:lang w:val="en-US"/>
        </w:rPr>
        <w:t>.</w:t>
      </w:r>
      <w:proofErr w:type="gramEnd"/>
      <w:r w:rsidRPr="002628CC">
        <w:rPr>
          <w:color w:val="000000"/>
          <w:sz w:val="22"/>
          <w:szCs w:val="22"/>
          <w:lang w:val="en-US"/>
        </w:rPr>
        <w:t xml:space="preserve"> Does the perception of prosody is different depending on whether it is </w:t>
      </w:r>
      <w:proofErr w:type="spellStart"/>
      <w:r w:rsidRPr="002628CC">
        <w:rPr>
          <w:color w:val="000000"/>
          <w:sz w:val="22"/>
          <w:szCs w:val="22"/>
          <w:lang w:val="en-US"/>
        </w:rPr>
        <w:t>producted</w:t>
      </w:r>
      <w:proofErr w:type="spellEnd"/>
      <w:r w:rsidRPr="002628CC">
        <w:rPr>
          <w:color w:val="000000"/>
          <w:sz w:val="22"/>
          <w:szCs w:val="22"/>
          <w:lang w:val="en-US"/>
        </w:rPr>
        <w:t xml:space="preserve"> by speakers in </w:t>
      </w:r>
      <w:proofErr w:type="gramStart"/>
      <w:r w:rsidRPr="002628CC">
        <w:rPr>
          <w:color w:val="000000"/>
          <w:sz w:val="22"/>
          <w:szCs w:val="22"/>
          <w:lang w:val="en-US"/>
        </w:rPr>
        <w:t xml:space="preserve">MS  </w:t>
      </w:r>
      <w:proofErr w:type="spellStart"/>
      <w:r w:rsidRPr="002628CC">
        <w:rPr>
          <w:color w:val="000000"/>
          <w:sz w:val="22"/>
          <w:szCs w:val="22"/>
          <w:lang w:val="en-US"/>
        </w:rPr>
        <w:t>vs</w:t>
      </w:r>
      <w:proofErr w:type="spellEnd"/>
      <w:proofErr w:type="gramEnd"/>
      <w:r w:rsidRPr="002628CC">
        <w:rPr>
          <w:color w:val="000000"/>
          <w:sz w:val="22"/>
          <w:szCs w:val="22"/>
          <w:lang w:val="en-US"/>
        </w:rPr>
        <w:t xml:space="preserve"> healthy ? Are there a correlation between verbal </w:t>
      </w:r>
      <w:proofErr w:type="spellStart"/>
      <w:r w:rsidRPr="002628CC">
        <w:rPr>
          <w:color w:val="000000"/>
          <w:sz w:val="22"/>
          <w:szCs w:val="22"/>
          <w:lang w:val="en-US"/>
        </w:rPr>
        <w:t>disfluency</w:t>
      </w:r>
      <w:proofErr w:type="spellEnd"/>
      <w:r w:rsidRPr="002628CC">
        <w:rPr>
          <w:color w:val="000000"/>
          <w:sz w:val="22"/>
          <w:szCs w:val="22"/>
          <w:lang w:val="en-US"/>
        </w:rPr>
        <w:t xml:space="preserve"> and working </w:t>
      </w:r>
      <w:proofErr w:type="spellStart"/>
      <w:proofErr w:type="gramStart"/>
      <w:r w:rsidRPr="002628CC">
        <w:rPr>
          <w:color w:val="000000"/>
          <w:sz w:val="22"/>
          <w:szCs w:val="22"/>
          <w:lang w:val="en-US"/>
        </w:rPr>
        <w:t>memery</w:t>
      </w:r>
      <w:proofErr w:type="spellEnd"/>
      <w:r w:rsidRPr="002628CC">
        <w:rPr>
          <w:color w:val="000000"/>
          <w:sz w:val="22"/>
          <w:szCs w:val="22"/>
          <w:lang w:val="en-US"/>
        </w:rPr>
        <w:t> ?</w:t>
      </w:r>
      <w:proofErr w:type="gramEnd"/>
      <w:r w:rsidRPr="002628CC">
        <w:rPr>
          <w:color w:val="000000"/>
          <w:sz w:val="22"/>
          <w:szCs w:val="22"/>
          <w:lang w:val="en-US"/>
        </w:rPr>
        <w:t xml:space="preserve"> A disorder of prosody would have an impact on the perception (comprehension and fluency of a sentence). Response time (RT) listeners would be faster in the </w:t>
      </w:r>
      <w:proofErr w:type="spellStart"/>
      <w:r w:rsidRPr="002628CC">
        <w:rPr>
          <w:color w:val="000000"/>
          <w:sz w:val="22"/>
          <w:szCs w:val="22"/>
          <w:lang w:val="en-US"/>
        </w:rPr>
        <w:t>jugement</w:t>
      </w:r>
      <w:proofErr w:type="spellEnd"/>
      <w:r w:rsidRPr="002628CC">
        <w:rPr>
          <w:color w:val="000000"/>
          <w:sz w:val="22"/>
          <w:szCs w:val="22"/>
          <w:lang w:val="en-US"/>
        </w:rPr>
        <w:t xml:space="preserve"> of healthy speakers because they do not make </w:t>
      </w:r>
      <w:proofErr w:type="spellStart"/>
      <w:r w:rsidRPr="002628CC">
        <w:rPr>
          <w:color w:val="000000"/>
          <w:sz w:val="22"/>
          <w:szCs w:val="22"/>
          <w:lang w:val="en-US"/>
        </w:rPr>
        <w:t>disfluencies</w:t>
      </w:r>
      <w:proofErr w:type="spellEnd"/>
      <w:r w:rsidRPr="002628CC">
        <w:rPr>
          <w:color w:val="000000"/>
          <w:sz w:val="22"/>
          <w:szCs w:val="22"/>
          <w:lang w:val="en-US"/>
        </w:rPr>
        <w:t xml:space="preserve">. </w:t>
      </w:r>
      <w:proofErr w:type="gramStart"/>
      <w:r w:rsidRPr="002628CC">
        <w:rPr>
          <w:i/>
          <w:iCs/>
          <w:color w:val="000000"/>
          <w:sz w:val="22"/>
          <w:szCs w:val="22"/>
          <w:lang w:val="en-US"/>
        </w:rPr>
        <w:t>Method</w:t>
      </w:r>
      <w:r w:rsidRPr="002628CC">
        <w:rPr>
          <w:color w:val="000000"/>
          <w:sz w:val="22"/>
          <w:szCs w:val="22"/>
          <w:lang w:val="en-US"/>
        </w:rPr>
        <w:t>.</w:t>
      </w:r>
      <w:proofErr w:type="gramEnd"/>
      <w:r w:rsidRPr="002628CC">
        <w:rPr>
          <w:color w:val="000000"/>
          <w:sz w:val="22"/>
          <w:szCs w:val="22"/>
          <w:lang w:val="en-US"/>
        </w:rPr>
        <w:t xml:space="preserve"> The study focused on the trial of 25 healthy listening to 30 speakers (healthy or MS, 15 controls and 15 SEP without </w:t>
      </w:r>
      <w:proofErr w:type="spellStart"/>
      <w:r w:rsidRPr="002628CC">
        <w:rPr>
          <w:color w:val="000000"/>
          <w:sz w:val="22"/>
          <w:szCs w:val="22"/>
          <w:lang w:val="en-US"/>
        </w:rPr>
        <w:t>dysarthria</w:t>
      </w:r>
      <w:proofErr w:type="spellEnd"/>
      <w:r w:rsidRPr="002628CC">
        <w:rPr>
          <w:color w:val="000000"/>
          <w:sz w:val="22"/>
          <w:szCs w:val="22"/>
          <w:lang w:val="en-US"/>
        </w:rPr>
        <w:t xml:space="preserve">). Three subgroups among </w:t>
      </w:r>
      <w:proofErr w:type="gramStart"/>
      <w:r w:rsidRPr="002628CC">
        <w:rPr>
          <w:color w:val="000000"/>
          <w:sz w:val="22"/>
          <w:szCs w:val="22"/>
          <w:lang w:val="en-US"/>
        </w:rPr>
        <w:t>speakers</w:t>
      </w:r>
      <w:proofErr w:type="gramEnd"/>
      <w:r w:rsidRPr="002628CC">
        <w:rPr>
          <w:color w:val="000000"/>
          <w:sz w:val="22"/>
          <w:szCs w:val="22"/>
          <w:lang w:val="en-US"/>
        </w:rPr>
        <w:t xml:space="preserve"> listeners were established based on their score by working memory. The </w:t>
      </w:r>
      <w:proofErr w:type="spellStart"/>
      <w:r w:rsidRPr="002628CC">
        <w:rPr>
          <w:color w:val="000000"/>
          <w:sz w:val="22"/>
          <w:szCs w:val="22"/>
          <w:lang w:val="en-US"/>
        </w:rPr>
        <w:t>judgement</w:t>
      </w:r>
      <w:proofErr w:type="spellEnd"/>
      <w:r w:rsidRPr="002628CC">
        <w:rPr>
          <w:color w:val="000000"/>
          <w:sz w:val="22"/>
          <w:szCs w:val="22"/>
          <w:lang w:val="en-US"/>
        </w:rPr>
        <w:t xml:space="preserve"> shall be brought as soon as possible. </w:t>
      </w:r>
      <w:proofErr w:type="gramStart"/>
      <w:r w:rsidRPr="002628CC">
        <w:rPr>
          <w:color w:val="000000"/>
          <w:sz w:val="22"/>
          <w:szCs w:val="22"/>
          <w:lang w:val="en-US"/>
        </w:rPr>
        <w:t>Results.</w:t>
      </w:r>
      <w:proofErr w:type="gramEnd"/>
      <w:r w:rsidRPr="002628CC">
        <w:rPr>
          <w:color w:val="000000"/>
          <w:sz w:val="22"/>
          <w:szCs w:val="22"/>
          <w:lang w:val="en-US"/>
        </w:rPr>
        <w:t xml:space="preserve"> When working memory is low, the results show a difference, auditors evaluate more negatively understanding among speakers MS than in control speakers. When working memory is </w:t>
      </w:r>
      <w:proofErr w:type="gramStart"/>
      <w:r w:rsidRPr="002628CC">
        <w:rPr>
          <w:color w:val="000000"/>
          <w:sz w:val="22"/>
          <w:szCs w:val="22"/>
          <w:lang w:val="en-US"/>
        </w:rPr>
        <w:t>intermediate  or</w:t>
      </w:r>
      <w:proofErr w:type="gramEnd"/>
      <w:r w:rsidRPr="002628CC">
        <w:rPr>
          <w:color w:val="000000"/>
          <w:sz w:val="22"/>
          <w:szCs w:val="22"/>
          <w:lang w:val="en-US"/>
        </w:rPr>
        <w:t xml:space="preserve"> low, auditors evaluate more negatively fluidity for users in MS for controls speakers. At RT, listeners are slower to judge in MS with low working memory. </w:t>
      </w:r>
      <w:proofErr w:type="gramStart"/>
      <w:r w:rsidRPr="002628CC">
        <w:rPr>
          <w:color w:val="000000"/>
          <w:sz w:val="22"/>
          <w:szCs w:val="22"/>
          <w:lang w:val="en-US"/>
        </w:rPr>
        <w:t xml:space="preserve">Conclusions / </w:t>
      </w:r>
      <w:proofErr w:type="spellStart"/>
      <w:r w:rsidRPr="002628CC">
        <w:rPr>
          <w:color w:val="000000"/>
          <w:sz w:val="22"/>
          <w:szCs w:val="22"/>
          <w:lang w:val="en-US"/>
        </w:rPr>
        <w:t>Pespectives</w:t>
      </w:r>
      <w:proofErr w:type="spellEnd"/>
      <w:r w:rsidRPr="002628CC">
        <w:rPr>
          <w:color w:val="000000"/>
          <w:sz w:val="22"/>
          <w:szCs w:val="22"/>
          <w:lang w:val="en-US"/>
        </w:rPr>
        <w:t>.</w:t>
      </w:r>
      <w:proofErr w:type="gramEnd"/>
      <w:r w:rsidRPr="002628CC">
        <w:rPr>
          <w:color w:val="000000"/>
          <w:sz w:val="22"/>
          <w:szCs w:val="22"/>
          <w:lang w:val="en-US"/>
        </w:rPr>
        <w:t xml:space="preserve"> Listeners do not discriminate against control end MS speakers with high </w:t>
      </w:r>
      <w:proofErr w:type="gramStart"/>
      <w:r w:rsidRPr="002628CC">
        <w:rPr>
          <w:color w:val="000000"/>
          <w:sz w:val="22"/>
          <w:szCs w:val="22"/>
          <w:lang w:val="en-US"/>
        </w:rPr>
        <w:t>Working</w:t>
      </w:r>
      <w:proofErr w:type="gramEnd"/>
      <w:r w:rsidRPr="002628CC">
        <w:rPr>
          <w:color w:val="000000"/>
          <w:sz w:val="22"/>
          <w:szCs w:val="22"/>
          <w:lang w:val="en-US"/>
        </w:rPr>
        <w:t xml:space="preserve"> </w:t>
      </w:r>
      <w:proofErr w:type="spellStart"/>
      <w:r w:rsidRPr="002628CC">
        <w:rPr>
          <w:color w:val="000000"/>
          <w:sz w:val="22"/>
          <w:szCs w:val="22"/>
          <w:lang w:val="en-US"/>
        </w:rPr>
        <w:t>memery</w:t>
      </w:r>
      <w:proofErr w:type="spellEnd"/>
      <w:r w:rsidRPr="002628CC">
        <w:rPr>
          <w:color w:val="000000"/>
          <w:sz w:val="22"/>
          <w:szCs w:val="22"/>
          <w:lang w:val="en-US"/>
        </w:rPr>
        <w:t xml:space="preserve"> span. This could be explained by a compensatory </w:t>
      </w:r>
      <w:proofErr w:type="spellStart"/>
      <w:r w:rsidRPr="002628CC">
        <w:rPr>
          <w:color w:val="000000"/>
          <w:sz w:val="22"/>
          <w:szCs w:val="22"/>
          <w:lang w:val="en-US"/>
        </w:rPr>
        <w:t>mecanism</w:t>
      </w:r>
      <w:proofErr w:type="spellEnd"/>
      <w:r w:rsidRPr="002628CC">
        <w:rPr>
          <w:color w:val="000000"/>
          <w:sz w:val="22"/>
          <w:szCs w:val="22"/>
          <w:lang w:val="en-US"/>
        </w:rPr>
        <w:t xml:space="preserve"> that could hide deficits working memory at an early stage of the disease. IT would be interesting to continue this study by choosing speakers in MS at various stages of the disease and offering more complex tasks. These results confirm that the correlation between working memory and </w:t>
      </w:r>
      <w:proofErr w:type="spellStart"/>
      <w:r w:rsidRPr="002628CC">
        <w:rPr>
          <w:color w:val="000000"/>
          <w:sz w:val="22"/>
          <w:szCs w:val="22"/>
          <w:lang w:val="en-US"/>
        </w:rPr>
        <w:t>plannig</w:t>
      </w:r>
      <w:proofErr w:type="spellEnd"/>
      <w:r w:rsidRPr="002628CC">
        <w:rPr>
          <w:color w:val="000000"/>
          <w:sz w:val="22"/>
          <w:szCs w:val="22"/>
          <w:lang w:val="en-US"/>
        </w:rPr>
        <w:t xml:space="preserve"> prosody (</w:t>
      </w:r>
      <w:proofErr w:type="spellStart"/>
      <w:r w:rsidRPr="002628CC">
        <w:rPr>
          <w:color w:val="000000"/>
          <w:sz w:val="22"/>
          <w:szCs w:val="22"/>
          <w:lang w:val="en-US"/>
        </w:rPr>
        <w:t>Petrone</w:t>
      </w:r>
      <w:proofErr w:type="spellEnd"/>
      <w:r w:rsidRPr="002628CC">
        <w:rPr>
          <w:color w:val="000000"/>
          <w:sz w:val="22"/>
          <w:szCs w:val="22"/>
          <w:lang w:val="en-US"/>
        </w:rPr>
        <w:t xml:space="preserve"> and al., 2013) has an impact on perception. The hypothesis that the response time listeners would be faster in the judgment is confirmed speakers healthy because they do not produce </w:t>
      </w:r>
      <w:proofErr w:type="spellStart"/>
      <w:r w:rsidRPr="002628CC">
        <w:rPr>
          <w:color w:val="000000"/>
          <w:sz w:val="22"/>
          <w:szCs w:val="22"/>
          <w:lang w:val="en-US"/>
        </w:rPr>
        <w:t>disfluencies</w:t>
      </w:r>
      <w:proofErr w:type="spellEnd"/>
      <w:r w:rsidRPr="002628CC">
        <w:rPr>
          <w:color w:val="000000"/>
          <w:sz w:val="22"/>
          <w:szCs w:val="22"/>
          <w:lang w:val="en-US"/>
        </w:rPr>
        <w:t xml:space="preserve"> (</w:t>
      </w:r>
      <w:proofErr w:type="spellStart"/>
      <w:r w:rsidRPr="002628CC">
        <w:rPr>
          <w:color w:val="000000"/>
          <w:sz w:val="22"/>
          <w:szCs w:val="22"/>
          <w:lang w:val="en-US"/>
        </w:rPr>
        <w:t>Petrone</w:t>
      </w:r>
      <w:proofErr w:type="spellEnd"/>
      <w:r w:rsidRPr="002628CC">
        <w:rPr>
          <w:color w:val="000000"/>
          <w:sz w:val="22"/>
          <w:szCs w:val="22"/>
          <w:lang w:val="en-US"/>
        </w:rPr>
        <w:t xml:space="preserve"> and al., 2013). It would be interesting to continue this study with listeners with multiple </w:t>
      </w:r>
      <w:proofErr w:type="spellStart"/>
      <w:r w:rsidRPr="002628CC">
        <w:rPr>
          <w:color w:val="000000"/>
          <w:sz w:val="22"/>
          <w:szCs w:val="22"/>
          <w:lang w:val="en-US"/>
        </w:rPr>
        <w:t>slerosis</w:t>
      </w:r>
      <w:proofErr w:type="spellEnd"/>
      <w:r w:rsidRPr="002628CC">
        <w:rPr>
          <w:color w:val="000000"/>
          <w:sz w:val="22"/>
          <w:szCs w:val="22"/>
          <w:lang w:val="en-US"/>
        </w:rPr>
        <w:t xml:space="preserve">, and increase the number of participants. This study does not provide a clinical benefit as not providing a therapeutic solution. </w:t>
      </w:r>
      <w:proofErr w:type="spellStart"/>
      <w:r w:rsidRPr="002628CC">
        <w:rPr>
          <w:color w:val="000000"/>
          <w:sz w:val="22"/>
          <w:szCs w:val="22"/>
        </w:rPr>
        <w:t>However</w:t>
      </w:r>
      <w:proofErr w:type="spellEnd"/>
      <w:r w:rsidRPr="002628CC">
        <w:rPr>
          <w:color w:val="000000"/>
          <w:sz w:val="22"/>
          <w:szCs w:val="22"/>
        </w:rPr>
        <w:t xml:space="preserve">, </w:t>
      </w:r>
      <w:proofErr w:type="spellStart"/>
      <w:r w:rsidRPr="002628CC">
        <w:rPr>
          <w:color w:val="000000"/>
          <w:sz w:val="22"/>
          <w:szCs w:val="22"/>
        </w:rPr>
        <w:t>it</w:t>
      </w:r>
      <w:proofErr w:type="spellEnd"/>
      <w:r w:rsidRPr="002628CC">
        <w:rPr>
          <w:color w:val="000000"/>
          <w:sz w:val="22"/>
          <w:szCs w:val="22"/>
        </w:rPr>
        <w:t xml:space="preserve"> </w:t>
      </w:r>
      <w:proofErr w:type="spellStart"/>
      <w:r w:rsidRPr="002628CC">
        <w:rPr>
          <w:color w:val="000000"/>
          <w:sz w:val="22"/>
          <w:szCs w:val="22"/>
        </w:rPr>
        <w:t>is</w:t>
      </w:r>
      <w:proofErr w:type="spellEnd"/>
      <w:r w:rsidRPr="002628CC">
        <w:rPr>
          <w:color w:val="000000"/>
          <w:sz w:val="22"/>
          <w:szCs w:val="22"/>
        </w:rPr>
        <w:t xml:space="preserve"> of </w:t>
      </w:r>
      <w:proofErr w:type="spellStart"/>
      <w:r w:rsidRPr="002628CC">
        <w:rPr>
          <w:color w:val="000000"/>
          <w:sz w:val="22"/>
          <w:szCs w:val="22"/>
        </w:rPr>
        <w:t>scientific</w:t>
      </w:r>
      <w:proofErr w:type="spellEnd"/>
      <w:r w:rsidRPr="002628CC">
        <w:rPr>
          <w:color w:val="000000"/>
          <w:sz w:val="22"/>
          <w:szCs w:val="22"/>
        </w:rPr>
        <w:t xml:space="preserve"> </w:t>
      </w:r>
      <w:proofErr w:type="spellStart"/>
      <w:r w:rsidRPr="002628CC">
        <w:rPr>
          <w:color w:val="000000"/>
          <w:sz w:val="22"/>
          <w:szCs w:val="22"/>
        </w:rPr>
        <w:t>interest</w:t>
      </w:r>
      <w:proofErr w:type="spellEnd"/>
      <w:r w:rsidRPr="002628CC">
        <w:rPr>
          <w:color w:val="000000"/>
          <w:sz w:val="22"/>
          <w:szCs w:val="22"/>
        </w:rPr>
        <w:t>.</w:t>
      </w:r>
    </w:p>
    <w:p w:rsidR="002628CC" w:rsidRPr="002628CC" w:rsidRDefault="002628CC" w:rsidP="002628CC">
      <w:pPr>
        <w:pStyle w:val="Textbody"/>
        <w:spacing w:after="0" w:line="360" w:lineRule="auto"/>
        <w:jc w:val="both"/>
        <w:rPr>
          <w:color w:val="000000"/>
          <w:sz w:val="22"/>
          <w:szCs w:val="22"/>
        </w:rPr>
      </w:pPr>
    </w:p>
    <w:p w:rsidR="002C0189" w:rsidRPr="002628CC" w:rsidRDefault="002C0189" w:rsidP="002628CC">
      <w:pPr>
        <w:jc w:val="both"/>
      </w:pPr>
    </w:p>
    <w:p w:rsidR="002C0189" w:rsidRPr="002628CC" w:rsidRDefault="002C0189" w:rsidP="002628CC">
      <w:pPr>
        <w:jc w:val="both"/>
      </w:pPr>
    </w:p>
    <w:p w:rsidR="00DA1BD4" w:rsidRPr="002628CC" w:rsidRDefault="00DA1BD4" w:rsidP="002628CC">
      <w:pPr>
        <w:jc w:val="both"/>
      </w:pPr>
    </w:p>
    <w:sectPr w:rsidR="00DA1BD4" w:rsidRPr="002628CC" w:rsidSect="000211AA">
      <w:headerReference w:type="default" r:id="rId10"/>
      <w:pgSz w:w="11906" w:h="16838"/>
      <w:pgMar w:top="70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44" w:rsidRDefault="00894044" w:rsidP="008C12DA">
      <w:r>
        <w:separator/>
      </w:r>
    </w:p>
  </w:endnote>
  <w:endnote w:type="continuationSeparator" w:id="0">
    <w:p w:rsidR="00894044" w:rsidRDefault="00894044" w:rsidP="008C1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44" w:rsidRDefault="00894044" w:rsidP="008C12DA">
      <w:r>
        <w:separator/>
      </w:r>
    </w:p>
  </w:footnote>
  <w:footnote w:type="continuationSeparator" w:id="0">
    <w:p w:rsidR="00894044" w:rsidRDefault="00894044" w:rsidP="008C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0B" w:rsidRDefault="00D41D0B" w:rsidP="008C12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FFB"/>
    <w:multiLevelType w:val="hybridMultilevel"/>
    <w:tmpl w:val="F7D06A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176D3"/>
    <w:multiLevelType w:val="hybridMultilevel"/>
    <w:tmpl w:val="861EC522"/>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
    <w:nsid w:val="1C535496"/>
    <w:multiLevelType w:val="hybridMultilevel"/>
    <w:tmpl w:val="BE72D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BF123D"/>
    <w:multiLevelType w:val="hybridMultilevel"/>
    <w:tmpl w:val="D980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0B35AD"/>
    <w:multiLevelType w:val="hybridMultilevel"/>
    <w:tmpl w:val="E222D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88383E"/>
    <w:multiLevelType w:val="hybridMultilevel"/>
    <w:tmpl w:val="9F1683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3E9B"/>
    <w:rsid w:val="0001222E"/>
    <w:rsid w:val="000211AA"/>
    <w:rsid w:val="000301EE"/>
    <w:rsid w:val="00040D3B"/>
    <w:rsid w:val="00040DA8"/>
    <w:rsid w:val="000457AC"/>
    <w:rsid w:val="00091630"/>
    <w:rsid w:val="00092E62"/>
    <w:rsid w:val="000C2B88"/>
    <w:rsid w:val="000D30E5"/>
    <w:rsid w:val="00115D96"/>
    <w:rsid w:val="0013586E"/>
    <w:rsid w:val="001366E6"/>
    <w:rsid w:val="00151534"/>
    <w:rsid w:val="00177FCE"/>
    <w:rsid w:val="00191152"/>
    <w:rsid w:val="00194B6F"/>
    <w:rsid w:val="001953B8"/>
    <w:rsid w:val="001A0993"/>
    <w:rsid w:val="001B3E8D"/>
    <w:rsid w:val="001B7D78"/>
    <w:rsid w:val="001C61A5"/>
    <w:rsid w:val="001D614C"/>
    <w:rsid w:val="001E00D1"/>
    <w:rsid w:val="001E0EC2"/>
    <w:rsid w:val="00235249"/>
    <w:rsid w:val="00237E09"/>
    <w:rsid w:val="0024489D"/>
    <w:rsid w:val="00244C58"/>
    <w:rsid w:val="00254FF0"/>
    <w:rsid w:val="002628CC"/>
    <w:rsid w:val="0026486A"/>
    <w:rsid w:val="00270B8A"/>
    <w:rsid w:val="002910F3"/>
    <w:rsid w:val="002B5E4C"/>
    <w:rsid w:val="002C0189"/>
    <w:rsid w:val="00384E9B"/>
    <w:rsid w:val="00392577"/>
    <w:rsid w:val="003C4FF6"/>
    <w:rsid w:val="004115D0"/>
    <w:rsid w:val="004246C9"/>
    <w:rsid w:val="00426BFD"/>
    <w:rsid w:val="00460B20"/>
    <w:rsid w:val="004778C3"/>
    <w:rsid w:val="00487780"/>
    <w:rsid w:val="0049492F"/>
    <w:rsid w:val="004A62B1"/>
    <w:rsid w:val="004C3E9B"/>
    <w:rsid w:val="004D4E02"/>
    <w:rsid w:val="00523E5E"/>
    <w:rsid w:val="00546C59"/>
    <w:rsid w:val="00553163"/>
    <w:rsid w:val="00560689"/>
    <w:rsid w:val="00560B54"/>
    <w:rsid w:val="00562482"/>
    <w:rsid w:val="00564AA2"/>
    <w:rsid w:val="00565018"/>
    <w:rsid w:val="00574F26"/>
    <w:rsid w:val="005A72DF"/>
    <w:rsid w:val="005E7616"/>
    <w:rsid w:val="005F0D64"/>
    <w:rsid w:val="005F7670"/>
    <w:rsid w:val="00617547"/>
    <w:rsid w:val="0063671D"/>
    <w:rsid w:val="00646D21"/>
    <w:rsid w:val="00663EDA"/>
    <w:rsid w:val="00685B9E"/>
    <w:rsid w:val="006947A4"/>
    <w:rsid w:val="006A0DBC"/>
    <w:rsid w:val="006B31DB"/>
    <w:rsid w:val="006D551A"/>
    <w:rsid w:val="006F7B54"/>
    <w:rsid w:val="00706CAF"/>
    <w:rsid w:val="00715A81"/>
    <w:rsid w:val="00733844"/>
    <w:rsid w:val="00753F6B"/>
    <w:rsid w:val="00754F65"/>
    <w:rsid w:val="007605F9"/>
    <w:rsid w:val="00767C06"/>
    <w:rsid w:val="007817BC"/>
    <w:rsid w:val="00782194"/>
    <w:rsid w:val="007E42A1"/>
    <w:rsid w:val="008060D3"/>
    <w:rsid w:val="00811D04"/>
    <w:rsid w:val="00826D9D"/>
    <w:rsid w:val="00827E84"/>
    <w:rsid w:val="008376B4"/>
    <w:rsid w:val="0084055F"/>
    <w:rsid w:val="008522D6"/>
    <w:rsid w:val="00883A40"/>
    <w:rsid w:val="0089355C"/>
    <w:rsid w:val="00894044"/>
    <w:rsid w:val="008A2621"/>
    <w:rsid w:val="008A4B34"/>
    <w:rsid w:val="008C12DA"/>
    <w:rsid w:val="008C7888"/>
    <w:rsid w:val="00910A7F"/>
    <w:rsid w:val="00920850"/>
    <w:rsid w:val="00925518"/>
    <w:rsid w:val="00985B8B"/>
    <w:rsid w:val="009875A5"/>
    <w:rsid w:val="009B0C93"/>
    <w:rsid w:val="009C2F57"/>
    <w:rsid w:val="009E2554"/>
    <w:rsid w:val="009E275A"/>
    <w:rsid w:val="009E3B36"/>
    <w:rsid w:val="00A37D56"/>
    <w:rsid w:val="00A41BF5"/>
    <w:rsid w:val="00A5212C"/>
    <w:rsid w:val="00A854AF"/>
    <w:rsid w:val="00A91785"/>
    <w:rsid w:val="00AA3854"/>
    <w:rsid w:val="00AD3747"/>
    <w:rsid w:val="00AE0398"/>
    <w:rsid w:val="00AF6509"/>
    <w:rsid w:val="00B219E7"/>
    <w:rsid w:val="00B27297"/>
    <w:rsid w:val="00B65DD2"/>
    <w:rsid w:val="00B83E76"/>
    <w:rsid w:val="00B84922"/>
    <w:rsid w:val="00B87DAA"/>
    <w:rsid w:val="00BC280A"/>
    <w:rsid w:val="00BD4788"/>
    <w:rsid w:val="00BF1A74"/>
    <w:rsid w:val="00C25C79"/>
    <w:rsid w:val="00C30E50"/>
    <w:rsid w:val="00C37612"/>
    <w:rsid w:val="00C42B3D"/>
    <w:rsid w:val="00C475D0"/>
    <w:rsid w:val="00C518D8"/>
    <w:rsid w:val="00C61844"/>
    <w:rsid w:val="00C63233"/>
    <w:rsid w:val="00C64A2F"/>
    <w:rsid w:val="00C70528"/>
    <w:rsid w:val="00CD293E"/>
    <w:rsid w:val="00D00E39"/>
    <w:rsid w:val="00D060AF"/>
    <w:rsid w:val="00D17574"/>
    <w:rsid w:val="00D21A41"/>
    <w:rsid w:val="00D2343E"/>
    <w:rsid w:val="00D27C00"/>
    <w:rsid w:val="00D30C97"/>
    <w:rsid w:val="00D32B66"/>
    <w:rsid w:val="00D41D0B"/>
    <w:rsid w:val="00D45112"/>
    <w:rsid w:val="00D726AB"/>
    <w:rsid w:val="00D7791E"/>
    <w:rsid w:val="00D949D8"/>
    <w:rsid w:val="00DA1BD4"/>
    <w:rsid w:val="00DA79BA"/>
    <w:rsid w:val="00DF4784"/>
    <w:rsid w:val="00DF6CBE"/>
    <w:rsid w:val="00E054EF"/>
    <w:rsid w:val="00E15396"/>
    <w:rsid w:val="00E34866"/>
    <w:rsid w:val="00E4324A"/>
    <w:rsid w:val="00E438CE"/>
    <w:rsid w:val="00E54D80"/>
    <w:rsid w:val="00E5568E"/>
    <w:rsid w:val="00E77411"/>
    <w:rsid w:val="00E847EE"/>
    <w:rsid w:val="00ED5EAF"/>
    <w:rsid w:val="00EF45A0"/>
    <w:rsid w:val="00EF6D6A"/>
    <w:rsid w:val="00F13C01"/>
    <w:rsid w:val="00F373AE"/>
    <w:rsid w:val="00F57A12"/>
    <w:rsid w:val="00F940C9"/>
    <w:rsid w:val="00FA270E"/>
    <w:rsid w:val="00FC3306"/>
    <w:rsid w:val="00FD2BB9"/>
    <w:rsid w:val="00FD5D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86A"/>
  </w:style>
  <w:style w:type="paragraph" w:styleId="Titre1">
    <w:name w:val="heading 1"/>
    <w:basedOn w:val="Normal"/>
    <w:next w:val="Normal"/>
    <w:link w:val="Titre1Car"/>
    <w:uiPriority w:val="9"/>
    <w:qFormat/>
    <w:rsid w:val="00D7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77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779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9492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648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91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7791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7791E"/>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77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791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7791E"/>
    <w:pPr>
      <w:spacing w:after="0" w:line="240" w:lineRule="auto"/>
    </w:pPr>
  </w:style>
  <w:style w:type="character" w:customStyle="1" w:styleId="Titre4Car">
    <w:name w:val="Titre 4 Car"/>
    <w:basedOn w:val="Policepardfaut"/>
    <w:link w:val="Titre4"/>
    <w:uiPriority w:val="9"/>
    <w:rsid w:val="0049492F"/>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49492F"/>
    <w:pPr>
      <w:ind w:left="720"/>
      <w:contextualSpacing/>
    </w:pPr>
  </w:style>
  <w:style w:type="paragraph" w:styleId="En-tte">
    <w:name w:val="header"/>
    <w:basedOn w:val="Normal"/>
    <w:link w:val="En-tteCar"/>
    <w:uiPriority w:val="99"/>
    <w:unhideWhenUsed/>
    <w:rsid w:val="00D41D0B"/>
    <w:pPr>
      <w:tabs>
        <w:tab w:val="center" w:pos="4536"/>
        <w:tab w:val="right" w:pos="9072"/>
      </w:tabs>
      <w:spacing w:after="0" w:line="240" w:lineRule="auto"/>
    </w:pPr>
  </w:style>
  <w:style w:type="character" w:customStyle="1" w:styleId="En-tteCar">
    <w:name w:val="En-tête Car"/>
    <w:basedOn w:val="Policepardfaut"/>
    <w:link w:val="En-tte"/>
    <w:uiPriority w:val="99"/>
    <w:rsid w:val="00D41D0B"/>
  </w:style>
  <w:style w:type="paragraph" w:styleId="Pieddepage">
    <w:name w:val="footer"/>
    <w:basedOn w:val="Normal"/>
    <w:link w:val="PieddepageCar"/>
    <w:uiPriority w:val="99"/>
    <w:semiHidden/>
    <w:unhideWhenUsed/>
    <w:rsid w:val="00D41D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1D0B"/>
  </w:style>
  <w:style w:type="paragraph" w:styleId="Textedebulles">
    <w:name w:val="Balloon Text"/>
    <w:basedOn w:val="Normal"/>
    <w:link w:val="TextedebullesCar"/>
    <w:uiPriority w:val="99"/>
    <w:semiHidden/>
    <w:unhideWhenUsed/>
    <w:rsid w:val="00D41D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D0B"/>
    <w:rPr>
      <w:rFonts w:ascii="Tahoma" w:hAnsi="Tahoma" w:cs="Tahoma"/>
      <w:sz w:val="16"/>
      <w:szCs w:val="16"/>
    </w:rPr>
  </w:style>
  <w:style w:type="character" w:styleId="Emphaseintense">
    <w:name w:val="Intense Emphasis"/>
    <w:basedOn w:val="Policepardfaut"/>
    <w:uiPriority w:val="21"/>
    <w:rsid w:val="00AF6509"/>
    <w:rPr>
      <w:b/>
      <w:bCs/>
      <w:i/>
      <w:iCs/>
      <w:color w:val="4F81BD" w:themeColor="accent1"/>
    </w:rPr>
  </w:style>
  <w:style w:type="table" w:styleId="Grilledutableau">
    <w:name w:val="Table Grid"/>
    <w:basedOn w:val="TableauNormal"/>
    <w:uiPriority w:val="59"/>
    <w:rsid w:val="00AE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fonce-Accent1">
    <w:name w:val="Dark List Accent 1"/>
    <w:basedOn w:val="TableauNormal"/>
    <w:uiPriority w:val="70"/>
    <w:rsid w:val="00AE03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1">
    <w:name w:val="Medium Grid 3 Accent 1"/>
    <w:basedOn w:val="TableauNormal"/>
    <w:uiPriority w:val="69"/>
    <w:rsid w:val="00AE03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us-titre">
    <w:name w:val="Subtitle"/>
    <w:basedOn w:val="Normal"/>
    <w:next w:val="Normal"/>
    <w:link w:val="Sous-titreCar"/>
    <w:uiPriority w:val="11"/>
    <w:qFormat/>
    <w:rsid w:val="00E054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054EF"/>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qFormat/>
    <w:rsid w:val="00B84922"/>
    <w:rPr>
      <w:i/>
      <w:iCs/>
      <w:color w:val="000000" w:themeColor="text1"/>
    </w:rPr>
  </w:style>
  <w:style w:type="character" w:customStyle="1" w:styleId="CitationCar">
    <w:name w:val="Citation Car"/>
    <w:basedOn w:val="Policepardfaut"/>
    <w:link w:val="Citation"/>
    <w:uiPriority w:val="29"/>
    <w:rsid w:val="00B84922"/>
    <w:rPr>
      <w:i/>
      <w:iCs/>
      <w:color w:val="000000" w:themeColor="text1"/>
    </w:rPr>
  </w:style>
  <w:style w:type="paragraph" w:styleId="Notedebasdepage">
    <w:name w:val="footnote text"/>
    <w:basedOn w:val="Normal"/>
    <w:link w:val="NotedebasdepageCar"/>
    <w:uiPriority w:val="99"/>
    <w:unhideWhenUsed/>
    <w:rsid w:val="00BF1A74"/>
    <w:pPr>
      <w:spacing w:after="0" w:line="240" w:lineRule="auto"/>
    </w:pPr>
    <w:rPr>
      <w:sz w:val="20"/>
      <w:szCs w:val="20"/>
    </w:rPr>
  </w:style>
  <w:style w:type="character" w:customStyle="1" w:styleId="NotedebasdepageCar">
    <w:name w:val="Note de bas de page Car"/>
    <w:basedOn w:val="Policepardfaut"/>
    <w:link w:val="Notedebasdepage"/>
    <w:uiPriority w:val="99"/>
    <w:rsid w:val="00BF1A74"/>
    <w:rPr>
      <w:sz w:val="20"/>
      <w:szCs w:val="20"/>
    </w:rPr>
  </w:style>
  <w:style w:type="character" w:styleId="Appelnotedebasdep">
    <w:name w:val="footnote reference"/>
    <w:basedOn w:val="Policepardfaut"/>
    <w:uiPriority w:val="99"/>
    <w:semiHidden/>
    <w:unhideWhenUsed/>
    <w:rsid w:val="00BF1A74"/>
    <w:rPr>
      <w:vertAlign w:val="superscript"/>
    </w:rPr>
  </w:style>
  <w:style w:type="character" w:styleId="Accentuation">
    <w:name w:val="Emphasis"/>
    <w:basedOn w:val="Policepardfaut"/>
    <w:uiPriority w:val="20"/>
    <w:qFormat/>
    <w:rsid w:val="0026486A"/>
    <w:rPr>
      <w:i/>
      <w:iCs/>
    </w:rPr>
  </w:style>
  <w:style w:type="character" w:styleId="Emphaseple">
    <w:name w:val="Subtle Emphasis"/>
    <w:basedOn w:val="Policepardfaut"/>
    <w:uiPriority w:val="19"/>
    <w:qFormat/>
    <w:rsid w:val="0026486A"/>
    <w:rPr>
      <w:i/>
      <w:iCs/>
      <w:color w:val="808080" w:themeColor="text1" w:themeTint="7F"/>
    </w:rPr>
  </w:style>
  <w:style w:type="character" w:customStyle="1" w:styleId="Titre5Car">
    <w:name w:val="Titre 5 Car"/>
    <w:basedOn w:val="Policepardfaut"/>
    <w:link w:val="Titre5"/>
    <w:uiPriority w:val="9"/>
    <w:rsid w:val="0026486A"/>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26486A"/>
    <w:rPr>
      <w:b/>
      <w:bCs/>
    </w:rPr>
  </w:style>
  <w:style w:type="table" w:styleId="Grillemoyenne2-Accent1">
    <w:name w:val="Medium Grid 2 Accent 1"/>
    <w:basedOn w:val="TableauNormal"/>
    <w:uiPriority w:val="68"/>
    <w:rsid w:val="00D234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emoyenne2-Accent1">
    <w:name w:val="Medium List 2 Accent 1"/>
    <w:basedOn w:val="TableauNormal"/>
    <w:uiPriority w:val="66"/>
    <w:rsid w:val="00A854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andard">
    <w:name w:val="Standard"/>
    <w:rsid w:val="002628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628CC"/>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4AC8A-386D-4F07-8238-93E9B64B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d'Aix-Marseille</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Technique CREx : Tournesol</dc:title>
  <dc:creator>epting</dc:creator>
  <cp:lastModifiedBy>epting</cp:lastModifiedBy>
  <cp:revision>2</cp:revision>
  <dcterms:created xsi:type="dcterms:W3CDTF">2015-09-23T09:37:00Z</dcterms:created>
  <dcterms:modified xsi:type="dcterms:W3CDTF">2015-09-23T09:37:00Z</dcterms:modified>
</cp:coreProperties>
</file>