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D136A6" w:rsidRPr="00D136A6" w:rsidRDefault="00D136A6" w:rsidP="00D136A6">
      <w:pPr>
        <w:pageBreakBefore/>
        <w:jc w:val="center"/>
        <w:rPr>
          <w:rFonts w:asciiTheme="minorHAnsi" w:hAnsiTheme="minorHAnsi"/>
          <w:b/>
          <w:bCs/>
          <w:sz w:val="28"/>
          <w:szCs w:val="28"/>
        </w:rPr>
      </w:pPr>
      <w:r w:rsidRPr="00D136A6">
        <w:rPr>
          <w:rFonts w:asciiTheme="minorHAnsi" w:hAnsiTheme="minorHAnsi"/>
          <w:b/>
          <w:bCs/>
          <w:sz w:val="28"/>
          <w:szCs w:val="28"/>
        </w:rPr>
        <w:t xml:space="preserve">Les investissements directs étrangers chinois en Europe : </w:t>
      </w:r>
    </w:p>
    <w:p w:rsidR="00D136A6" w:rsidRPr="00D136A6" w:rsidRDefault="00D136A6" w:rsidP="00D136A6">
      <w:pPr>
        <w:jc w:val="center"/>
        <w:rPr>
          <w:rFonts w:asciiTheme="minorHAnsi" w:hAnsiTheme="minorHAnsi"/>
          <w:sz w:val="24"/>
          <w:szCs w:val="24"/>
        </w:rPr>
      </w:pPr>
      <w:r w:rsidRPr="00D136A6">
        <w:rPr>
          <w:rFonts w:asciiTheme="minorHAnsi" w:hAnsiTheme="minorHAnsi"/>
          <w:b/>
          <w:bCs/>
          <w:sz w:val="28"/>
          <w:szCs w:val="28"/>
        </w:rPr>
        <w:t>stratégies et localisations</w:t>
      </w:r>
    </w:p>
    <w:p w:rsidR="00D136A6" w:rsidRPr="00D136A6" w:rsidRDefault="00D136A6" w:rsidP="00D136A6">
      <w:pPr>
        <w:rPr>
          <w:rFonts w:asciiTheme="minorHAnsi" w:hAnsiTheme="minorHAnsi"/>
          <w:sz w:val="24"/>
          <w:szCs w:val="24"/>
        </w:rPr>
      </w:pPr>
    </w:p>
    <w:p w:rsidR="00D136A6" w:rsidRPr="00D136A6" w:rsidRDefault="00D136A6" w:rsidP="00D136A6">
      <w:pPr>
        <w:rPr>
          <w:rFonts w:asciiTheme="minorHAnsi" w:hAnsiTheme="minorHAnsi"/>
          <w:sz w:val="24"/>
          <w:szCs w:val="24"/>
        </w:rPr>
      </w:pPr>
    </w:p>
    <w:p w:rsidR="00D136A6" w:rsidRPr="00D136A6" w:rsidRDefault="00D136A6" w:rsidP="00D136A6">
      <w:pPr>
        <w:jc w:val="both"/>
        <w:rPr>
          <w:rFonts w:asciiTheme="minorHAnsi" w:hAnsiTheme="minorHAnsi"/>
        </w:rPr>
      </w:pPr>
      <w:r w:rsidRPr="00D136A6">
        <w:rPr>
          <w:rFonts w:asciiTheme="minorHAnsi" w:hAnsiTheme="minorHAnsi"/>
          <w:b/>
          <w:bCs/>
          <w:sz w:val="24"/>
          <w:szCs w:val="24"/>
        </w:rPr>
        <w:t>Xavier RICHET</w:t>
      </w:r>
      <w:r w:rsidRPr="00D136A6">
        <w:rPr>
          <w:rStyle w:val="Appelnotedebasdep1"/>
          <w:rFonts w:asciiTheme="minorHAnsi" w:hAnsiTheme="minorHAnsi"/>
          <w:b/>
          <w:bCs/>
          <w:sz w:val="24"/>
          <w:szCs w:val="24"/>
        </w:rPr>
        <w:footnoteReference w:id="2"/>
      </w:r>
    </w:p>
    <w:p w:rsidR="00D136A6" w:rsidRPr="00D136A6" w:rsidRDefault="00D136A6" w:rsidP="00D136A6">
      <w:pPr>
        <w:jc w:val="both"/>
        <w:rPr>
          <w:rFonts w:asciiTheme="minorHAnsi" w:hAnsiTheme="minorHAnsi"/>
        </w:rPr>
      </w:pPr>
    </w:p>
    <w:p w:rsidR="00D136A6" w:rsidRPr="00D136A6" w:rsidRDefault="00D136A6" w:rsidP="00D136A6">
      <w:pPr>
        <w:jc w:val="both"/>
        <w:rPr>
          <w:rFonts w:asciiTheme="minorHAnsi" w:hAnsiTheme="minorHAnsi"/>
          <w:sz w:val="24"/>
          <w:szCs w:val="24"/>
        </w:rPr>
      </w:pPr>
    </w:p>
    <w:p w:rsidR="00D136A6" w:rsidRPr="00D136A6" w:rsidRDefault="00D136A6" w:rsidP="00D136A6">
      <w:pPr>
        <w:pStyle w:val="Corpsdetexte"/>
        <w:spacing w:after="0" w:line="360" w:lineRule="auto"/>
        <w:jc w:val="both"/>
        <w:rPr>
          <w:rFonts w:asciiTheme="minorHAnsi" w:hAnsiTheme="minorHAnsi"/>
          <w:i/>
          <w:sz w:val="24"/>
          <w:szCs w:val="24"/>
        </w:rPr>
      </w:pPr>
      <w:r w:rsidRPr="00D136A6">
        <w:rPr>
          <w:rFonts w:asciiTheme="minorHAnsi" w:hAnsiTheme="minorHAnsi"/>
          <w:color w:val="353535"/>
          <w:sz w:val="24"/>
          <w:szCs w:val="24"/>
        </w:rPr>
        <w:t xml:space="preserve">Xavier Richet est Professeur Emérite à l'université de la Sorbonne nouvelle, titulaire d'une chaire </w:t>
      </w:r>
      <w:r w:rsidRPr="00D136A6">
        <w:rPr>
          <w:rFonts w:asciiTheme="minorHAnsi" w:hAnsiTheme="minorHAnsi"/>
          <w:i/>
          <w:iCs/>
          <w:color w:val="353535"/>
          <w:sz w:val="24"/>
          <w:szCs w:val="24"/>
        </w:rPr>
        <w:t>Jean Monnet</w:t>
      </w:r>
      <w:r w:rsidRPr="00D136A6">
        <w:rPr>
          <w:rFonts w:asciiTheme="minorHAnsi" w:hAnsiTheme="minorHAnsi"/>
          <w:color w:val="353535"/>
          <w:sz w:val="24"/>
          <w:szCs w:val="24"/>
        </w:rPr>
        <w:t xml:space="preserve"> d'économie des élargissements européens. Au cours des trois dernières années, il a coordonné avec des chercheurs bulgares, croates, roumains, serbes et français le projet de recherche BALKINT supporté par le programme </w:t>
      </w:r>
      <w:hyperlink r:id="rId7" w:anchor="_blank" w:history="1">
        <w:r w:rsidRPr="00D136A6">
          <w:rPr>
            <w:rStyle w:val="Lienhypertexte"/>
            <w:rFonts w:asciiTheme="minorHAnsi" w:hAnsiTheme="minorHAnsi"/>
            <w:i/>
            <w:sz w:val="24"/>
          </w:rPr>
          <w:t>Lifelong Learning Programme</w:t>
        </w:r>
      </w:hyperlink>
      <w:r w:rsidRPr="00D136A6">
        <w:rPr>
          <w:rFonts w:asciiTheme="minorHAnsi" w:hAnsiTheme="minorHAnsi"/>
          <w:i/>
          <w:sz w:val="24"/>
        </w:rPr>
        <w:t xml:space="preserve"> </w:t>
      </w:r>
      <w:r w:rsidRPr="00D136A6">
        <w:rPr>
          <w:rFonts w:asciiTheme="minorHAnsi" w:hAnsiTheme="minorHAnsi"/>
          <w:sz w:val="24"/>
          <w:szCs w:val="24"/>
        </w:rPr>
        <w:t>d</w:t>
      </w:r>
      <w:r w:rsidRPr="00D136A6">
        <w:rPr>
          <w:rFonts w:asciiTheme="minorHAnsi" w:hAnsiTheme="minorHAnsi"/>
          <w:color w:val="353535"/>
          <w:sz w:val="24"/>
          <w:szCs w:val="24"/>
        </w:rPr>
        <w:t xml:space="preserve">e l’Union européenne. Dans ce cadre, il s'est intéressé plus particulièrement au rôle des investissements directs étrangers comme facteur de restructuration et de spécialisation des économies de la région. Il a récemment co-édité plusieurs ouvrages dont : </w:t>
      </w:r>
      <w:r w:rsidRPr="00D136A6">
        <w:rPr>
          <w:rFonts w:asciiTheme="minorHAnsi" w:hAnsiTheme="minorHAnsi"/>
          <w:i/>
          <w:color w:val="222222"/>
          <w:sz w:val="24"/>
          <w:szCs w:val="24"/>
        </w:rPr>
        <w:t>China and the Global Crisis. A Comparison with Europe</w:t>
      </w:r>
      <w:r w:rsidRPr="00D136A6">
        <w:rPr>
          <w:rFonts w:asciiTheme="minorHAnsi" w:hAnsiTheme="minorHAnsi"/>
          <w:color w:val="222222"/>
          <w:sz w:val="24"/>
          <w:szCs w:val="24"/>
        </w:rPr>
        <w:t xml:space="preserve"> (ed. with J.-P. Cabestan and J.-F. Di Meglio), Routledge, 2012 ; </w:t>
      </w:r>
      <w:r w:rsidRPr="00D136A6">
        <w:rPr>
          <w:rFonts w:asciiTheme="minorHAnsi" w:hAnsiTheme="minorHAnsi"/>
          <w:i/>
          <w:color w:val="222222"/>
          <w:sz w:val="24"/>
          <w:szCs w:val="24"/>
        </w:rPr>
        <w:t xml:space="preserve">Strategies of Multinational Corporations and Social Regulations. Asian and European Perspectives </w:t>
      </w:r>
      <w:r w:rsidRPr="00D136A6">
        <w:rPr>
          <w:rFonts w:asciiTheme="minorHAnsi" w:hAnsiTheme="minorHAnsi"/>
          <w:color w:val="222222"/>
          <w:sz w:val="24"/>
          <w:szCs w:val="24"/>
        </w:rPr>
        <w:t xml:space="preserve">(ed. with V. Delteil and P. Dieuaide), Springer, Heidelberg, 2014 ; </w:t>
      </w:r>
      <w:r w:rsidRPr="00D136A6">
        <w:rPr>
          <w:rFonts w:asciiTheme="minorHAnsi" w:hAnsiTheme="minorHAnsi"/>
          <w:i/>
          <w:color w:val="222222"/>
          <w:sz w:val="24"/>
          <w:szCs w:val="24"/>
        </w:rPr>
        <w:t>Chine, Inde : les firmes au cœur de l’émergence </w:t>
      </w:r>
      <w:r w:rsidRPr="00D136A6">
        <w:rPr>
          <w:rFonts w:asciiTheme="minorHAnsi" w:hAnsiTheme="minorHAnsi"/>
          <w:color w:val="222222"/>
          <w:sz w:val="24"/>
          <w:szCs w:val="24"/>
        </w:rPr>
        <w:t>(ed. with J.-F. Huchet and J. Ruet), PUR, Rennes, 2015 ;</w:t>
      </w:r>
      <w:r w:rsidRPr="00D136A6">
        <w:rPr>
          <w:rFonts w:asciiTheme="minorHAnsi" w:hAnsiTheme="minorHAnsi"/>
          <w:i/>
          <w:color w:val="222222"/>
          <w:sz w:val="24"/>
          <w:szCs w:val="24"/>
        </w:rPr>
        <w:t xml:space="preserve">Le Maghreb à l’épreuve de la mondialisation </w:t>
      </w:r>
      <w:r w:rsidRPr="00D136A6">
        <w:rPr>
          <w:rFonts w:asciiTheme="minorHAnsi" w:hAnsiTheme="minorHAnsi"/>
          <w:color w:val="222222"/>
          <w:sz w:val="24"/>
          <w:szCs w:val="24"/>
        </w:rPr>
        <w:t xml:space="preserve">(ed. with Nadji Safir), L’Harmattan, Bibliothèque de l’IReMMO, Paris, 2016 ; </w:t>
      </w:r>
      <w:r w:rsidRPr="00D136A6">
        <w:rPr>
          <w:rFonts w:asciiTheme="minorHAnsi" w:hAnsiTheme="minorHAnsi"/>
          <w:i/>
          <w:color w:val="222222"/>
          <w:sz w:val="24"/>
          <w:szCs w:val="24"/>
          <w:lang w:val="en-US"/>
        </w:rPr>
        <w:t>Western Balkans Integrating the EU : Challenges, Policies, Issues </w:t>
      </w:r>
      <w:r w:rsidRPr="00D136A6">
        <w:rPr>
          <w:rFonts w:asciiTheme="minorHAnsi" w:hAnsiTheme="minorHAnsi"/>
          <w:color w:val="222222"/>
          <w:sz w:val="24"/>
          <w:szCs w:val="24"/>
          <w:lang w:val="en-US"/>
        </w:rPr>
        <w:t xml:space="preserve">(ed. with S. Redzepagic), CEMAFI International, Nice, 2016. </w:t>
      </w:r>
    </w:p>
    <w:p w:rsidR="00D136A6" w:rsidRPr="00D136A6" w:rsidRDefault="00D136A6" w:rsidP="00D136A6">
      <w:pPr>
        <w:pStyle w:val="Corpsdetexte"/>
        <w:spacing w:after="0" w:line="360" w:lineRule="auto"/>
        <w:jc w:val="both"/>
        <w:rPr>
          <w:rFonts w:asciiTheme="minorHAnsi" w:hAnsiTheme="minorHAnsi"/>
          <w:i/>
          <w:sz w:val="24"/>
          <w:szCs w:val="24"/>
        </w:rPr>
      </w:pPr>
    </w:p>
    <w:p w:rsidR="00D136A6" w:rsidRPr="00D136A6" w:rsidRDefault="00D136A6" w:rsidP="00D136A6">
      <w:pPr>
        <w:pStyle w:val="Corpsdetexte"/>
        <w:spacing w:after="0" w:line="360" w:lineRule="auto"/>
        <w:jc w:val="both"/>
        <w:rPr>
          <w:rFonts w:asciiTheme="minorHAnsi" w:hAnsiTheme="minorHAnsi"/>
          <w:color w:val="222222"/>
          <w:sz w:val="24"/>
          <w:szCs w:val="24"/>
          <w:lang w:val="en-US" w:eastAsia="ar-SA"/>
        </w:rPr>
      </w:pPr>
      <w:r w:rsidRPr="00D136A6">
        <w:rPr>
          <w:rFonts w:asciiTheme="minorHAnsi" w:hAnsiTheme="minorHAnsi"/>
          <w:b/>
          <w:bCs/>
          <w:color w:val="222222"/>
          <w:sz w:val="24"/>
          <w:szCs w:val="24"/>
          <w:lang w:val="en-US"/>
        </w:rPr>
        <w:t>Abstract</w:t>
      </w:r>
    </w:p>
    <w:p w:rsidR="00D136A6" w:rsidRPr="00D136A6" w:rsidRDefault="00D136A6" w:rsidP="00D136A6">
      <w:pPr>
        <w:pStyle w:val="Corpsdetexte"/>
        <w:spacing w:after="0" w:line="360" w:lineRule="auto"/>
        <w:jc w:val="both"/>
        <w:rPr>
          <w:rFonts w:asciiTheme="minorHAnsi" w:hAnsiTheme="minorHAnsi"/>
          <w:i/>
          <w:sz w:val="24"/>
          <w:szCs w:val="24"/>
        </w:rPr>
      </w:pPr>
      <w:r w:rsidRPr="00D136A6">
        <w:rPr>
          <w:rFonts w:asciiTheme="minorHAnsi" w:hAnsiTheme="minorHAnsi"/>
          <w:color w:val="222222"/>
          <w:sz w:val="24"/>
          <w:szCs w:val="24"/>
          <w:lang w:val="en-US" w:eastAsia="ar-SA"/>
        </w:rPr>
        <w:t xml:space="preserve">Chinese outward direct investments have begun to pour among european economies. Although they are still limited in volume compared with other destinations (Asia, Latin America), they cover almost all sectors and countries with strong concentration among the most industrial countries of the region entering through different modes : mergers and acquisitions, greenfields, majority or minority stakes. </w:t>
      </w:r>
      <w:r w:rsidRPr="00D136A6">
        <w:rPr>
          <w:rFonts w:asciiTheme="minorHAnsi" w:hAnsiTheme="minorHAnsi"/>
          <w:color w:val="353535"/>
          <w:sz w:val="24"/>
          <w:szCs w:val="24"/>
          <w:lang w:val="en-US" w:eastAsia="ar-SA"/>
        </w:rPr>
        <w:t xml:space="preserve">This paper addresses several questions among which the divide between countries (EU-15 and the others) in terms of attractiveness, the diversity of Chinese investors (industry, services, finance), the motivation for investing in the region : market expansion, or integrating regional value chains, Southern european countries, including the Western Balkans. </w:t>
      </w:r>
    </w:p>
    <w:p w:rsidR="00D136A6" w:rsidRPr="00D136A6" w:rsidRDefault="00D136A6" w:rsidP="00D136A6">
      <w:pPr>
        <w:spacing w:line="360" w:lineRule="auto"/>
        <w:jc w:val="both"/>
        <w:rPr>
          <w:rFonts w:asciiTheme="minorHAnsi" w:hAnsiTheme="minorHAnsi"/>
          <w:i/>
          <w:sz w:val="24"/>
          <w:szCs w:val="24"/>
        </w:rPr>
      </w:pPr>
    </w:p>
    <w:p w:rsidR="00D136A6" w:rsidRPr="00D136A6" w:rsidRDefault="00D136A6" w:rsidP="00D136A6">
      <w:pPr>
        <w:spacing w:line="360" w:lineRule="auto"/>
        <w:jc w:val="both"/>
        <w:rPr>
          <w:rFonts w:asciiTheme="minorHAnsi" w:hAnsiTheme="minorHAnsi"/>
          <w:sz w:val="24"/>
          <w:szCs w:val="24"/>
        </w:rPr>
      </w:pPr>
      <w:r w:rsidRPr="00D136A6">
        <w:rPr>
          <w:rFonts w:asciiTheme="minorHAnsi" w:hAnsiTheme="minorHAnsi"/>
          <w:b/>
          <w:sz w:val="24"/>
          <w:szCs w:val="24"/>
        </w:rPr>
        <w:tab/>
        <w:t>Introduction</w:t>
      </w:r>
    </w:p>
    <w:p w:rsidR="00D136A6" w:rsidRPr="00D136A6" w:rsidRDefault="00D136A6" w:rsidP="00D136A6">
      <w:pPr>
        <w:spacing w:line="360" w:lineRule="auto"/>
        <w:jc w:val="both"/>
        <w:rPr>
          <w:rFonts w:asciiTheme="minorHAnsi" w:hAnsiTheme="minorHAnsi"/>
          <w:sz w:val="24"/>
          <w:szCs w:val="24"/>
        </w:rPr>
      </w:pPr>
    </w:p>
    <w:p w:rsidR="00D136A6" w:rsidRPr="00D136A6" w:rsidRDefault="00D136A6" w:rsidP="00D136A6">
      <w:pPr>
        <w:spacing w:line="360" w:lineRule="auto"/>
        <w:jc w:val="both"/>
        <w:rPr>
          <w:rFonts w:asciiTheme="minorHAnsi" w:hAnsiTheme="minorHAnsi"/>
          <w:sz w:val="24"/>
          <w:szCs w:val="24"/>
        </w:rPr>
      </w:pPr>
      <w:r w:rsidRPr="00D136A6">
        <w:rPr>
          <w:rFonts w:asciiTheme="minorHAnsi" w:hAnsiTheme="minorHAnsi"/>
          <w:sz w:val="24"/>
          <w:szCs w:val="24"/>
        </w:rPr>
        <w:tab/>
        <w:t>Le niveau des réserves de change accumulées par la Chine au cours de ces dernières décennies alimente les espoirs et aussi les craintes de pays, voire de régions, aujourd’hui de potentiels récipiendaires de cette manne générée par l’ « Etat-Parti chinois»</w:t>
      </w:r>
      <w:r w:rsidRPr="00D136A6">
        <w:rPr>
          <w:rStyle w:val="Appelnotedebasdep1"/>
          <w:rFonts w:asciiTheme="minorHAnsi" w:hAnsiTheme="minorHAnsi"/>
          <w:sz w:val="24"/>
          <w:szCs w:val="24"/>
        </w:rPr>
        <w:footnoteReference w:id="3"/>
      </w:r>
      <w:r w:rsidRPr="00D136A6">
        <w:rPr>
          <w:rFonts w:asciiTheme="minorHAnsi" w:hAnsiTheme="minorHAnsi"/>
          <w:sz w:val="24"/>
          <w:szCs w:val="24"/>
        </w:rPr>
        <w:t>. Ce dernier déterminerait et orchestrerait la distribution de ces réserves à travers le monde pour acquérir des ressources minérales, fossiles</w:t>
      </w:r>
      <w:r w:rsidRPr="00D136A6">
        <w:rPr>
          <w:rStyle w:val="Appelnotedebasdep1"/>
          <w:rFonts w:asciiTheme="minorHAnsi" w:hAnsiTheme="minorHAnsi"/>
          <w:sz w:val="24"/>
          <w:szCs w:val="24"/>
        </w:rPr>
        <w:footnoteReference w:id="4"/>
      </w:r>
      <w:r w:rsidRPr="00D136A6">
        <w:rPr>
          <w:rFonts w:asciiTheme="minorHAnsi" w:hAnsiTheme="minorHAnsi"/>
          <w:sz w:val="24"/>
          <w:szCs w:val="24"/>
        </w:rPr>
        <w:t xml:space="preserve">, des technologies, développer des marchés, créer de nouvelles routes commerciales. Certains projets semblent pharaoniques voire difficilement atteignables tel celui visant à relier le Pacifique et l’Atlantique à travers le Pérou et le Brésil, ou encore le doublement du canal de Panama. </w:t>
      </w:r>
    </w:p>
    <w:p w:rsidR="00D136A6" w:rsidRPr="00D136A6" w:rsidRDefault="00D136A6" w:rsidP="00D136A6">
      <w:pPr>
        <w:spacing w:line="360" w:lineRule="auto"/>
        <w:jc w:val="both"/>
        <w:rPr>
          <w:rFonts w:asciiTheme="minorHAnsi" w:hAnsiTheme="minorHAnsi"/>
          <w:sz w:val="24"/>
          <w:szCs w:val="24"/>
        </w:rPr>
      </w:pPr>
      <w:r w:rsidRPr="00D136A6">
        <w:rPr>
          <w:rFonts w:asciiTheme="minorHAnsi" w:hAnsiTheme="minorHAnsi"/>
          <w:sz w:val="24"/>
          <w:szCs w:val="24"/>
        </w:rPr>
        <w:tab/>
        <w:t>Les investissements directs étrangers (IDE) chinois se sont concentrés au cours des dernières décennies vers les pays détenant d’importantes ressources naturelles (Pays du Golfe, Afrique, Amérique latine). On constate depuis quelques années une forte attractivité des économies de marché développées et intermédiaires, notamment européennes, membres de l’Union européenne (UE-28</w:t>
      </w:r>
      <w:r w:rsidRPr="00D136A6">
        <w:rPr>
          <w:rStyle w:val="Appelnotedebasdep1"/>
          <w:rFonts w:asciiTheme="minorHAnsi" w:hAnsiTheme="minorHAnsi"/>
          <w:sz w:val="24"/>
          <w:szCs w:val="24"/>
        </w:rPr>
        <w:footnoteReference w:id="5"/>
      </w:r>
      <w:r w:rsidRPr="00D136A6">
        <w:rPr>
          <w:rFonts w:asciiTheme="minorHAnsi" w:hAnsiTheme="minorHAnsi"/>
          <w:sz w:val="24"/>
          <w:szCs w:val="24"/>
        </w:rPr>
        <w:t>), des pays en attente de la rejoindre (Balkans occidentaux) ainsi que des voisins plus à l’Est – Russie, Ukraine, Biélorussie</w:t>
      </w:r>
      <w:r w:rsidRPr="00D136A6">
        <w:rPr>
          <w:rStyle w:val="Appelnotedebasdep1"/>
          <w:rFonts w:asciiTheme="minorHAnsi" w:hAnsiTheme="minorHAnsi"/>
          <w:sz w:val="24"/>
          <w:szCs w:val="24"/>
        </w:rPr>
        <w:footnoteReference w:id="6"/>
      </w:r>
      <w:r w:rsidRPr="00D136A6">
        <w:rPr>
          <w:rFonts w:asciiTheme="minorHAnsi" w:hAnsiTheme="minorHAnsi"/>
          <w:sz w:val="24"/>
          <w:szCs w:val="24"/>
        </w:rPr>
        <w:t xml:space="preserve">. </w:t>
      </w:r>
    </w:p>
    <w:p w:rsidR="00D136A6" w:rsidRPr="00D136A6" w:rsidRDefault="00D136A6" w:rsidP="00D136A6">
      <w:pPr>
        <w:spacing w:line="360" w:lineRule="auto"/>
        <w:jc w:val="both"/>
        <w:rPr>
          <w:rFonts w:asciiTheme="minorHAnsi" w:hAnsiTheme="minorHAnsi"/>
          <w:sz w:val="24"/>
          <w:szCs w:val="24"/>
        </w:rPr>
      </w:pPr>
      <w:r w:rsidRPr="00D136A6">
        <w:rPr>
          <w:rFonts w:asciiTheme="minorHAnsi" w:hAnsiTheme="minorHAnsi"/>
          <w:sz w:val="24"/>
          <w:szCs w:val="24"/>
        </w:rPr>
        <w:tab/>
        <w:t>Espoirs d’un côté, car ces investissements viennent palier le faible niveau de formation brute de capital fixe observée depuis la crise de 2008 dans l’Union européenne même si cette dernière demeure la première destination pour les IDE devant les Etats-Unis et la Chine</w:t>
      </w:r>
      <w:r w:rsidRPr="00D136A6">
        <w:rPr>
          <w:rStyle w:val="Appelnotedebasdep1"/>
          <w:rFonts w:asciiTheme="minorHAnsi" w:hAnsiTheme="minorHAnsi"/>
          <w:sz w:val="24"/>
          <w:szCs w:val="24"/>
        </w:rPr>
        <w:footnoteReference w:id="7"/>
      </w:r>
      <w:r w:rsidRPr="00D136A6">
        <w:rPr>
          <w:rFonts w:asciiTheme="minorHAnsi" w:hAnsiTheme="minorHAnsi"/>
          <w:sz w:val="24"/>
          <w:szCs w:val="24"/>
        </w:rPr>
        <w:t>. Les IDE en provenance de Chine constituent un complément aux investissements de l’UE-15 vers les Nouveaux états membres (NEM) de l’Union européenne et des Balkans occidentaux en phase d’accession. Les projets initiés par la Chine (</w:t>
      </w:r>
      <w:r w:rsidRPr="00D136A6">
        <w:rPr>
          <w:rFonts w:asciiTheme="minorHAnsi" w:hAnsiTheme="minorHAnsi"/>
          <w:i/>
          <w:sz w:val="24"/>
          <w:szCs w:val="24"/>
        </w:rPr>
        <w:t>One Belt, One Road</w:t>
      </w:r>
      <w:r w:rsidRPr="00D136A6">
        <w:rPr>
          <w:rFonts w:asciiTheme="minorHAnsi" w:hAnsiTheme="minorHAnsi"/>
          <w:sz w:val="24"/>
          <w:szCs w:val="24"/>
        </w:rPr>
        <w:t>, « 16+1 »</w:t>
      </w:r>
      <w:r w:rsidRPr="00D136A6">
        <w:rPr>
          <w:rStyle w:val="Appelnotedebasdep1"/>
          <w:rFonts w:asciiTheme="minorHAnsi" w:hAnsiTheme="minorHAnsi"/>
          <w:sz w:val="24"/>
          <w:szCs w:val="24"/>
        </w:rPr>
        <w:footnoteReference w:id="8"/>
      </w:r>
      <w:r w:rsidRPr="00D136A6">
        <w:rPr>
          <w:rFonts w:asciiTheme="minorHAnsi" w:hAnsiTheme="minorHAnsi"/>
          <w:color w:val="000000"/>
          <w:sz w:val="24"/>
          <w:szCs w:val="24"/>
        </w:rPr>
        <w:t>)</w:t>
      </w:r>
      <w:r w:rsidRPr="00D136A6">
        <w:rPr>
          <w:rFonts w:asciiTheme="minorHAnsi" w:hAnsiTheme="minorHAnsi"/>
          <w:sz w:val="24"/>
          <w:szCs w:val="24"/>
        </w:rPr>
        <w:t xml:space="preserve"> s’inscrivent dans cette stratégie. Les accords bilatéraux dans cette région privilégient toutefois la construction d’infrastructures financées en grande partie par la Chine. A proprement parler, on ne peut donc pas parler d’IDE. </w:t>
      </w:r>
    </w:p>
    <w:p w:rsidR="00D136A6" w:rsidRPr="00D136A6" w:rsidRDefault="00D136A6" w:rsidP="00D136A6">
      <w:pPr>
        <w:spacing w:line="360" w:lineRule="auto"/>
        <w:jc w:val="both"/>
        <w:rPr>
          <w:rFonts w:asciiTheme="minorHAnsi" w:hAnsiTheme="minorHAnsi"/>
          <w:sz w:val="24"/>
          <w:szCs w:val="24"/>
        </w:rPr>
      </w:pPr>
      <w:r w:rsidRPr="00D136A6">
        <w:rPr>
          <w:rFonts w:asciiTheme="minorHAnsi" w:hAnsiTheme="minorHAnsi"/>
          <w:sz w:val="24"/>
          <w:szCs w:val="24"/>
        </w:rPr>
        <w:tab/>
        <w:t>Crainte d’un autre côté de voir des firmes chinoises prendre le contrôle de « joyaux » industriels en acquérant totalement ou partiellement des segments du système industriel européen</w:t>
      </w:r>
      <w:r w:rsidRPr="00D136A6">
        <w:rPr>
          <w:rStyle w:val="Appelnotedebasdep1"/>
          <w:rFonts w:asciiTheme="minorHAnsi" w:hAnsiTheme="minorHAnsi"/>
          <w:sz w:val="24"/>
          <w:szCs w:val="24"/>
        </w:rPr>
        <w:footnoteReference w:id="9"/>
      </w:r>
      <w:r w:rsidRPr="00D136A6">
        <w:rPr>
          <w:rFonts w:asciiTheme="minorHAnsi" w:hAnsiTheme="minorHAnsi"/>
          <w:sz w:val="24"/>
          <w:szCs w:val="24"/>
        </w:rPr>
        <w:t>. Cette offensive</w:t>
      </w:r>
      <w:r w:rsidRPr="00D136A6">
        <w:rPr>
          <w:rStyle w:val="Appelnotedebasdep1"/>
          <w:rFonts w:asciiTheme="minorHAnsi" w:hAnsiTheme="minorHAnsi"/>
          <w:sz w:val="24"/>
          <w:szCs w:val="24"/>
        </w:rPr>
        <w:footnoteReference w:id="10"/>
      </w:r>
      <w:r w:rsidRPr="00D136A6">
        <w:rPr>
          <w:rFonts w:asciiTheme="minorHAnsi" w:hAnsiTheme="minorHAnsi"/>
          <w:sz w:val="24"/>
          <w:szCs w:val="24"/>
        </w:rPr>
        <w:t xml:space="preserve"> est tous azimuts et concerne la plupart des secteurs, des pays de l’UE. Tels les bourgeois de Calais, les autorités nationales au sein de l’UE déploient un tapis rouge en direction de ces investisseurs d’un type nouveau</w:t>
      </w:r>
      <w:r w:rsidRPr="00D136A6">
        <w:rPr>
          <w:rStyle w:val="Appelnotedebasdep1"/>
          <w:rFonts w:asciiTheme="minorHAnsi" w:hAnsiTheme="minorHAnsi"/>
          <w:sz w:val="24"/>
          <w:szCs w:val="24"/>
        </w:rPr>
        <w:footnoteReference w:id="11"/>
      </w:r>
      <w:r w:rsidRPr="00D136A6">
        <w:rPr>
          <w:rFonts w:asciiTheme="minorHAnsi" w:hAnsiTheme="minorHAnsi"/>
          <w:sz w:val="24"/>
          <w:szCs w:val="24"/>
        </w:rPr>
        <w:t xml:space="preserve"> au risque de provoquer un dumping fiscal et des pratiques de moins disant pour attirer cette manne dans les pays de l’est et du sud-est de l’Europe</w:t>
      </w:r>
      <w:r w:rsidRPr="00D136A6">
        <w:rPr>
          <w:rStyle w:val="Appelnotedebasdep1"/>
          <w:rFonts w:asciiTheme="minorHAnsi" w:hAnsiTheme="minorHAnsi"/>
          <w:sz w:val="24"/>
          <w:szCs w:val="24"/>
        </w:rPr>
        <w:footnoteReference w:id="12"/>
      </w:r>
      <w:r w:rsidRPr="00D136A6">
        <w:rPr>
          <w:rFonts w:asciiTheme="minorHAnsi" w:hAnsiTheme="minorHAnsi"/>
          <w:sz w:val="24"/>
          <w:szCs w:val="24"/>
        </w:rPr>
        <w:t>.</w:t>
      </w:r>
    </w:p>
    <w:p w:rsidR="00D136A6" w:rsidRPr="00D136A6" w:rsidRDefault="00D136A6" w:rsidP="00D136A6">
      <w:pPr>
        <w:spacing w:line="360" w:lineRule="auto"/>
        <w:jc w:val="both"/>
        <w:rPr>
          <w:rFonts w:asciiTheme="minorHAnsi" w:hAnsiTheme="minorHAnsi"/>
          <w:sz w:val="24"/>
          <w:szCs w:val="24"/>
        </w:rPr>
      </w:pPr>
      <w:r w:rsidRPr="00D136A6">
        <w:rPr>
          <w:rFonts w:asciiTheme="minorHAnsi" w:hAnsiTheme="minorHAnsi"/>
          <w:sz w:val="24"/>
          <w:szCs w:val="24"/>
        </w:rPr>
        <w:tab/>
        <w:t xml:space="preserve">La décision d’investir dans cette partie du monde (comme ailleurs) n’est plus seulement l’œuvre des seules firmes d’Etat. On y trouve des sociétés cotées en bourse, non-étatiques, firmes privées, des PME,  des </w:t>
      </w:r>
      <w:r w:rsidRPr="00D136A6">
        <w:rPr>
          <w:rFonts w:asciiTheme="minorHAnsi" w:hAnsiTheme="minorHAnsi"/>
          <w:i/>
          <w:sz w:val="24"/>
          <w:szCs w:val="24"/>
        </w:rPr>
        <w:t>start-up</w:t>
      </w:r>
      <w:r w:rsidRPr="00D136A6">
        <w:rPr>
          <w:rFonts w:asciiTheme="minorHAnsi" w:hAnsiTheme="minorHAnsi"/>
          <w:sz w:val="24"/>
          <w:szCs w:val="24"/>
        </w:rPr>
        <w:t xml:space="preserve"> et </w:t>
      </w:r>
      <w:r w:rsidRPr="00D136A6">
        <w:rPr>
          <w:rFonts w:asciiTheme="minorHAnsi" w:hAnsiTheme="minorHAnsi"/>
          <w:i/>
          <w:sz w:val="24"/>
          <w:szCs w:val="24"/>
        </w:rPr>
        <w:t>born globals</w:t>
      </w:r>
      <w:r w:rsidRPr="00D136A6">
        <w:rPr>
          <w:rStyle w:val="Appelnotedebasdep1"/>
          <w:rFonts w:asciiTheme="minorHAnsi" w:hAnsiTheme="minorHAnsi"/>
          <w:sz w:val="24"/>
          <w:szCs w:val="24"/>
        </w:rPr>
        <w:footnoteReference w:id="13"/>
      </w:r>
      <w:r w:rsidRPr="00D136A6">
        <w:rPr>
          <w:rFonts w:asciiTheme="minorHAnsi" w:hAnsiTheme="minorHAnsi"/>
          <w:sz w:val="24"/>
          <w:szCs w:val="24"/>
        </w:rPr>
        <w:t xml:space="preserve"> même, de plus en plus,  des firmes familiales de petite taille dont la présence maille les territoires à travers la région</w:t>
      </w:r>
      <w:r w:rsidRPr="00D136A6">
        <w:rPr>
          <w:rStyle w:val="Appelnotedebasdep1"/>
          <w:rFonts w:asciiTheme="minorHAnsi" w:hAnsiTheme="minorHAnsi"/>
          <w:sz w:val="24"/>
          <w:szCs w:val="24"/>
        </w:rPr>
        <w:footnoteReference w:id="14"/>
      </w:r>
      <w:r w:rsidRPr="00D136A6">
        <w:rPr>
          <w:rStyle w:val="Appelnotedebasdep1"/>
          <w:rFonts w:asciiTheme="minorHAnsi" w:hAnsiTheme="minorHAnsi"/>
          <w:sz w:val="24"/>
          <w:szCs w:val="24"/>
        </w:rPr>
        <w:t> </w:t>
      </w:r>
      <w:r w:rsidRPr="00D136A6">
        <w:rPr>
          <w:rStyle w:val="Appelnotedebasdep1"/>
          <w:rFonts w:asciiTheme="minorHAnsi" w:hAnsiTheme="minorHAnsi"/>
          <w:color w:val="373737"/>
          <w:sz w:val="24"/>
          <w:szCs w:val="24"/>
        </w:rPr>
        <w:t>.</w:t>
      </w:r>
    </w:p>
    <w:p w:rsidR="00D136A6" w:rsidRPr="00D136A6" w:rsidRDefault="00D136A6" w:rsidP="00D136A6">
      <w:pPr>
        <w:spacing w:line="360" w:lineRule="auto"/>
        <w:jc w:val="both"/>
        <w:rPr>
          <w:rFonts w:asciiTheme="minorHAnsi" w:hAnsiTheme="minorHAnsi"/>
          <w:sz w:val="24"/>
          <w:szCs w:val="24"/>
        </w:rPr>
      </w:pPr>
      <w:r w:rsidRPr="00D136A6">
        <w:rPr>
          <w:rFonts w:asciiTheme="minorHAnsi" w:hAnsiTheme="minorHAnsi"/>
          <w:sz w:val="24"/>
          <w:szCs w:val="24"/>
        </w:rPr>
        <w:tab/>
        <w:t xml:space="preserve">La présence des firmes chinoises au sud de l’Europe constituerait une menace sur les intégrations futures pour les firmes Ouest-européennes qui ont joué un rôle essentiel dans la transformation du paysage industriel dans cette région. Pour cela, il faudrait que ces investissements engendrent des flux d’activités et d’échanges qui s’opéreraient en parallèle avec ceux qui existent déjà avec l’Union Européenne, principal partenaire de ces pays en voie d’intégration. Pour les pays déjà membres (Bulgarie, Roumanie) ces IDE provenant de Chine constituent un complément aux IDE en provenance de l’UE, principal pourvoyeur de capital étranger dans la région. </w:t>
      </w:r>
    </w:p>
    <w:p w:rsidR="00D136A6" w:rsidRPr="00D136A6" w:rsidRDefault="00D136A6" w:rsidP="00D136A6">
      <w:pPr>
        <w:spacing w:line="360" w:lineRule="auto"/>
        <w:jc w:val="both"/>
        <w:rPr>
          <w:rFonts w:asciiTheme="minorHAnsi" w:hAnsiTheme="minorHAnsi"/>
          <w:sz w:val="24"/>
          <w:szCs w:val="24"/>
        </w:rPr>
      </w:pPr>
      <w:r w:rsidRPr="00D136A6">
        <w:rPr>
          <w:rFonts w:asciiTheme="minorHAnsi" w:hAnsiTheme="minorHAnsi"/>
          <w:sz w:val="24"/>
          <w:szCs w:val="24"/>
        </w:rPr>
        <w:tab/>
        <w:t>Voie de passage vers le nord de l’Europe ou terres d’opportunités ? Les Balkans occidentaux offrent quelques potentialités aux investisseurs chinois mais limitées si l’on songe à l’importance des coûts irrécupérables</w:t>
      </w:r>
      <w:r w:rsidRPr="00D136A6">
        <w:rPr>
          <w:rStyle w:val="Appelnotedebasdep1"/>
          <w:rFonts w:asciiTheme="minorHAnsi" w:hAnsiTheme="minorHAnsi"/>
          <w:sz w:val="24"/>
          <w:szCs w:val="24"/>
        </w:rPr>
        <w:footnoteReference w:id="15"/>
      </w:r>
      <w:r w:rsidRPr="00D136A6">
        <w:rPr>
          <w:rFonts w:asciiTheme="minorHAnsi" w:hAnsiTheme="minorHAnsi"/>
          <w:sz w:val="24"/>
          <w:szCs w:val="24"/>
        </w:rPr>
        <w:t xml:space="preserve"> engendrés par les conflits qui, durant une décennie, ont durablement affecté le tissu industriel de ces économies, notamment de l’ancienne Yougoslavie, aux difficultés d’assurer un environnement économique stable.</w:t>
      </w:r>
    </w:p>
    <w:p w:rsidR="00D136A6" w:rsidRPr="00D136A6" w:rsidRDefault="00D136A6" w:rsidP="00D136A6">
      <w:pPr>
        <w:spacing w:line="360" w:lineRule="auto"/>
        <w:jc w:val="both"/>
        <w:rPr>
          <w:rFonts w:asciiTheme="minorHAnsi" w:hAnsiTheme="minorHAnsi"/>
          <w:sz w:val="24"/>
          <w:szCs w:val="24"/>
        </w:rPr>
      </w:pPr>
      <w:r w:rsidRPr="00D136A6">
        <w:rPr>
          <w:rFonts w:asciiTheme="minorHAnsi" w:hAnsiTheme="minorHAnsi"/>
          <w:sz w:val="24"/>
          <w:szCs w:val="24"/>
        </w:rPr>
        <w:tab/>
        <w:t>Ainsi l’Europe, au sens large, devient une nouvelle destination prisée pour les IDE chinois. Leur distribution géographique, sectorielle, en volume, par types d’entreprises, d’un côté, l’attractivité différenciée des économies européennes de l’autre, donnent une image plus complexe de la réalité de l’entrée des capitaux chinois dans la région. Le mouvement d’acquisition n’est pas sans soulever de nombreux risques tant pour les firmes émettrices que pour celles des pays récepteurs en dépit de l’engagement de l’Etat chinois qui apporte sa caution.</w:t>
      </w:r>
    </w:p>
    <w:p w:rsidR="00D136A6" w:rsidRPr="00D136A6" w:rsidRDefault="00D136A6" w:rsidP="00D136A6">
      <w:pPr>
        <w:spacing w:line="360" w:lineRule="auto"/>
        <w:jc w:val="both"/>
        <w:rPr>
          <w:rFonts w:asciiTheme="minorHAnsi" w:hAnsiTheme="minorHAnsi"/>
          <w:sz w:val="24"/>
          <w:szCs w:val="24"/>
        </w:rPr>
      </w:pPr>
      <w:r w:rsidRPr="00D136A6">
        <w:rPr>
          <w:rFonts w:asciiTheme="minorHAnsi" w:hAnsiTheme="minorHAnsi"/>
          <w:sz w:val="24"/>
          <w:szCs w:val="24"/>
        </w:rPr>
        <w:tab/>
        <w:t>On pouvait penser que les IDE chinois dans la région, motivés par des facteurs classiques (cadre institutionnel, coûts des facteurs, ressources, croissance des marchés, insertion dans les chaînes de valeur régionales) se seraient partagés autour de différentes lignes :</w:t>
      </w:r>
    </w:p>
    <w:p w:rsidR="00D136A6" w:rsidRPr="00D136A6" w:rsidRDefault="00D136A6" w:rsidP="00D136A6">
      <w:pPr>
        <w:numPr>
          <w:ilvl w:val="0"/>
          <w:numId w:val="1"/>
        </w:numPr>
        <w:spacing w:line="360" w:lineRule="auto"/>
        <w:jc w:val="both"/>
        <w:rPr>
          <w:rFonts w:asciiTheme="minorHAnsi" w:hAnsiTheme="minorHAnsi"/>
          <w:sz w:val="24"/>
          <w:szCs w:val="24"/>
        </w:rPr>
      </w:pPr>
      <w:r w:rsidRPr="00D136A6">
        <w:rPr>
          <w:rFonts w:asciiTheme="minorHAnsi" w:hAnsiTheme="minorHAnsi"/>
          <w:sz w:val="24"/>
          <w:szCs w:val="24"/>
        </w:rPr>
        <w:t xml:space="preserve">Une ligne Est-Ouest avec des IDE de type fusion-acquisition vers des secteurs à hautes et moyenne technologies dans l’UE-15 et des investissements de type </w:t>
      </w:r>
      <w:r w:rsidRPr="00D136A6">
        <w:rPr>
          <w:rFonts w:asciiTheme="minorHAnsi" w:hAnsiTheme="minorHAnsi"/>
          <w:i/>
          <w:sz w:val="24"/>
          <w:szCs w:val="24"/>
        </w:rPr>
        <w:t>greenfield</w:t>
      </w:r>
      <w:r w:rsidRPr="00D136A6">
        <w:rPr>
          <w:rFonts w:asciiTheme="minorHAnsi" w:hAnsiTheme="minorHAnsi"/>
          <w:sz w:val="24"/>
          <w:szCs w:val="24"/>
        </w:rPr>
        <w:t xml:space="preserve"> et à faible coût de main d’œuvre dans les Nouveaux Etats Membres.</w:t>
      </w:r>
    </w:p>
    <w:p w:rsidR="00D136A6" w:rsidRPr="00D136A6" w:rsidRDefault="00D136A6" w:rsidP="00D136A6">
      <w:pPr>
        <w:numPr>
          <w:ilvl w:val="0"/>
          <w:numId w:val="1"/>
        </w:numPr>
        <w:spacing w:line="360" w:lineRule="auto"/>
        <w:jc w:val="both"/>
        <w:rPr>
          <w:rFonts w:asciiTheme="minorHAnsi" w:hAnsiTheme="minorHAnsi"/>
          <w:sz w:val="24"/>
          <w:szCs w:val="24"/>
        </w:rPr>
      </w:pPr>
      <w:r w:rsidRPr="00D136A6">
        <w:rPr>
          <w:rFonts w:asciiTheme="minorHAnsi" w:hAnsiTheme="minorHAnsi"/>
          <w:sz w:val="24"/>
          <w:szCs w:val="24"/>
        </w:rPr>
        <w:t>Une ligne Nord-Sud au sein de l’UE-15 avec une concentration des IDE au nord de l’Europe en direction des IDE à haute valeur ajoutée et du sud à plus faible valeur ajoutée</w:t>
      </w:r>
    </w:p>
    <w:p w:rsidR="00D136A6" w:rsidRPr="00D136A6" w:rsidRDefault="00D136A6" w:rsidP="00D136A6">
      <w:pPr>
        <w:numPr>
          <w:ilvl w:val="0"/>
          <w:numId w:val="1"/>
        </w:numPr>
        <w:spacing w:line="360" w:lineRule="auto"/>
        <w:jc w:val="both"/>
        <w:rPr>
          <w:rFonts w:asciiTheme="minorHAnsi" w:hAnsiTheme="minorHAnsi"/>
          <w:sz w:val="24"/>
          <w:szCs w:val="24"/>
        </w:rPr>
      </w:pPr>
      <w:r w:rsidRPr="00D136A6">
        <w:rPr>
          <w:rFonts w:asciiTheme="minorHAnsi" w:hAnsiTheme="minorHAnsi"/>
          <w:sz w:val="24"/>
          <w:szCs w:val="24"/>
        </w:rPr>
        <w:t>Une ligne Sud-Est (pays en attente, pays du Sud Est de l’Europe) afin de tirer parti des opportunités pré-adhésion dues à l’absence de réglementation communautaire, de s’introduire éventuellement dans le jeu régional et d’interférer dans les relations UE-pays Balkaniques, comme on le prête également à la Russie</w:t>
      </w:r>
      <w:r w:rsidRPr="00D136A6">
        <w:rPr>
          <w:rStyle w:val="Appelnotedebasdep1"/>
          <w:rFonts w:asciiTheme="minorHAnsi" w:hAnsiTheme="minorHAnsi"/>
          <w:sz w:val="24"/>
          <w:szCs w:val="24"/>
        </w:rPr>
        <w:footnoteReference w:id="16"/>
      </w:r>
      <w:r w:rsidRPr="00D136A6">
        <w:rPr>
          <w:rFonts w:asciiTheme="minorHAnsi" w:hAnsiTheme="minorHAnsi"/>
          <w:sz w:val="24"/>
          <w:szCs w:val="24"/>
        </w:rPr>
        <w:t>.</w:t>
      </w:r>
    </w:p>
    <w:p w:rsidR="00D136A6" w:rsidRPr="00D136A6" w:rsidRDefault="00D136A6" w:rsidP="00D136A6">
      <w:pPr>
        <w:spacing w:line="360" w:lineRule="auto"/>
        <w:jc w:val="both"/>
        <w:rPr>
          <w:rFonts w:asciiTheme="minorHAnsi" w:hAnsiTheme="minorHAnsi"/>
          <w:sz w:val="24"/>
          <w:szCs w:val="24"/>
        </w:rPr>
      </w:pPr>
      <w:r w:rsidRPr="00D136A6">
        <w:rPr>
          <w:rFonts w:asciiTheme="minorHAnsi" w:hAnsiTheme="minorHAnsi"/>
          <w:sz w:val="24"/>
          <w:szCs w:val="24"/>
        </w:rPr>
        <w:tab/>
        <w:t>La distribution des IDE chinois en Europe, comme on le verra, ne suit pas tout à fait cette répartition en raison de facteurs qui tiennent notamment à la variété des investisseurs et à la convergence des politiques économiques dans les pays hôtes même si la crise et la baisse de valeur de nombreux actifs accroissent l’attractivité de ces pays. Il faut noter également des facteurs en provenance du pays émetteur : la diversification spatiale (Amériques, Afrique) et  sectorielle, la lutte contre la corruption en Chine qui à la fois freine et amplifie</w:t>
      </w:r>
      <w:r w:rsidRPr="00D136A6">
        <w:rPr>
          <w:rStyle w:val="Appelnotedebasdep1"/>
          <w:rFonts w:asciiTheme="minorHAnsi" w:hAnsiTheme="minorHAnsi"/>
          <w:sz w:val="24"/>
          <w:szCs w:val="24"/>
        </w:rPr>
        <w:footnoteReference w:id="17"/>
      </w:r>
      <w:r w:rsidRPr="00D136A6">
        <w:rPr>
          <w:rFonts w:asciiTheme="minorHAnsi" w:hAnsiTheme="minorHAnsi"/>
          <w:sz w:val="24"/>
          <w:szCs w:val="24"/>
        </w:rPr>
        <w:t xml:space="preserve"> les sorties de capitaux, bride les potentialités entrepreneuriales, enfin le recentrage de la croissance sur le marché domestique.</w:t>
      </w:r>
    </w:p>
    <w:p w:rsidR="00D136A6" w:rsidRPr="00D136A6" w:rsidRDefault="00D136A6" w:rsidP="00D136A6">
      <w:pPr>
        <w:spacing w:line="360" w:lineRule="auto"/>
        <w:jc w:val="both"/>
        <w:rPr>
          <w:rFonts w:asciiTheme="minorHAnsi" w:hAnsiTheme="minorHAnsi"/>
          <w:sz w:val="24"/>
          <w:szCs w:val="24"/>
        </w:rPr>
      </w:pPr>
      <w:r w:rsidRPr="00D136A6">
        <w:rPr>
          <w:rFonts w:asciiTheme="minorHAnsi" w:hAnsiTheme="minorHAnsi"/>
          <w:sz w:val="24"/>
          <w:szCs w:val="24"/>
        </w:rPr>
        <w:tab/>
        <w:t>Dans une première section, on rappellera les évolutions récentes des IDE chinois en général et plus particulièrement en direction des économies de marché développés, notamment en Europe. Dans une seconde section, on présentera les principales destinations à la fois géographique et sectorielle des IDE chinois. Dans une troisième section, on analysera la présence des IDE chinois dans les Balkans. Une section conclusive interprètera la dynamique des IDE en Europe et finalement leur place encore modeste parmi les principaux investisseurs étrangers dans cette partie du monde.</w:t>
      </w:r>
    </w:p>
    <w:p w:rsidR="00D136A6" w:rsidRPr="00D136A6" w:rsidRDefault="00D136A6" w:rsidP="00D136A6">
      <w:pPr>
        <w:spacing w:line="360" w:lineRule="auto"/>
        <w:jc w:val="both"/>
        <w:rPr>
          <w:rFonts w:asciiTheme="minorHAnsi" w:hAnsiTheme="minorHAnsi"/>
          <w:sz w:val="24"/>
          <w:szCs w:val="24"/>
        </w:rPr>
      </w:pPr>
    </w:p>
    <w:p w:rsidR="00D136A6" w:rsidRPr="00D136A6" w:rsidRDefault="00D136A6" w:rsidP="00D136A6">
      <w:pPr>
        <w:spacing w:line="360" w:lineRule="auto"/>
        <w:jc w:val="both"/>
        <w:rPr>
          <w:rFonts w:asciiTheme="minorHAnsi" w:hAnsiTheme="minorHAnsi"/>
          <w:sz w:val="24"/>
          <w:szCs w:val="24"/>
        </w:rPr>
      </w:pPr>
      <w:r w:rsidRPr="00D136A6">
        <w:rPr>
          <w:rFonts w:asciiTheme="minorHAnsi" w:hAnsiTheme="minorHAnsi"/>
          <w:b/>
          <w:sz w:val="24"/>
          <w:szCs w:val="24"/>
        </w:rPr>
        <w:tab/>
        <w:t>Les firmes chinoises à l’assaut des marchés</w:t>
      </w:r>
    </w:p>
    <w:p w:rsidR="00D136A6" w:rsidRPr="00D136A6" w:rsidRDefault="00D136A6" w:rsidP="00D136A6">
      <w:pPr>
        <w:spacing w:line="360" w:lineRule="auto"/>
        <w:jc w:val="both"/>
        <w:rPr>
          <w:rFonts w:asciiTheme="minorHAnsi" w:hAnsiTheme="minorHAnsi"/>
          <w:sz w:val="24"/>
          <w:szCs w:val="24"/>
        </w:rPr>
      </w:pPr>
    </w:p>
    <w:p w:rsidR="00D136A6" w:rsidRPr="00D136A6" w:rsidRDefault="00D136A6" w:rsidP="00D136A6">
      <w:pPr>
        <w:spacing w:line="360" w:lineRule="auto"/>
        <w:jc w:val="both"/>
        <w:rPr>
          <w:rFonts w:asciiTheme="minorHAnsi" w:hAnsiTheme="minorHAnsi"/>
          <w:sz w:val="24"/>
          <w:szCs w:val="24"/>
        </w:rPr>
      </w:pPr>
      <w:r w:rsidRPr="00D136A6">
        <w:rPr>
          <w:rFonts w:asciiTheme="minorHAnsi" w:hAnsiTheme="minorHAnsi"/>
          <w:i/>
          <w:sz w:val="24"/>
          <w:szCs w:val="24"/>
        </w:rPr>
        <w:tab/>
        <w:t>L’internationalisation des firmes chinoises, une croissance exponentielle</w:t>
      </w:r>
    </w:p>
    <w:p w:rsidR="00D136A6" w:rsidRPr="00D136A6" w:rsidRDefault="00D136A6" w:rsidP="00D136A6">
      <w:pPr>
        <w:spacing w:line="360" w:lineRule="auto"/>
        <w:jc w:val="both"/>
        <w:rPr>
          <w:rFonts w:asciiTheme="minorHAnsi" w:hAnsiTheme="minorHAnsi"/>
          <w:sz w:val="24"/>
          <w:szCs w:val="24"/>
        </w:rPr>
      </w:pPr>
      <w:r w:rsidRPr="00D136A6">
        <w:rPr>
          <w:rFonts w:asciiTheme="minorHAnsi" w:hAnsiTheme="minorHAnsi"/>
          <w:sz w:val="24"/>
          <w:szCs w:val="24"/>
        </w:rPr>
        <w:tab/>
        <w:t>La Chine a connu une accélération de la croissance de ses IDE au début des années 2000 suite à l’adhésion de la Chine à l’OMC fin 2001 alors que le mouvement d’internationalisation des firmes chinoises remonte au début des années 1980</w:t>
      </w:r>
      <w:r w:rsidRPr="00D136A6">
        <w:rPr>
          <w:rStyle w:val="Appelnotedebasdep1"/>
          <w:rFonts w:asciiTheme="minorHAnsi" w:hAnsiTheme="minorHAnsi"/>
          <w:sz w:val="24"/>
          <w:szCs w:val="24"/>
        </w:rPr>
        <w:footnoteReference w:id="18"/>
      </w:r>
      <w:r w:rsidRPr="00D136A6">
        <w:rPr>
          <w:rFonts w:asciiTheme="minorHAnsi" w:hAnsiTheme="minorHAnsi"/>
          <w:sz w:val="24"/>
          <w:szCs w:val="24"/>
        </w:rPr>
        <w:t xml:space="preserve">. Après une longue période d’hésitation au cours des décennies précédentes, la montée en puissance de l’économie chinoise a contribué à accélérer le mouvement. La crise de 2008   a amplifié l’envolée et le </w:t>
      </w:r>
      <w:r w:rsidRPr="00D136A6">
        <w:rPr>
          <w:rFonts w:asciiTheme="minorHAnsi" w:hAnsiTheme="minorHAnsi"/>
          <w:i/>
          <w:iCs/>
          <w:sz w:val="24"/>
          <w:szCs w:val="24"/>
        </w:rPr>
        <w:t>boom</w:t>
      </w:r>
      <w:r w:rsidRPr="00D136A6">
        <w:rPr>
          <w:rFonts w:asciiTheme="minorHAnsi" w:hAnsiTheme="minorHAnsi"/>
          <w:sz w:val="24"/>
          <w:szCs w:val="24"/>
        </w:rPr>
        <w:t xml:space="preserve"> des IDE chinois (figures 1 et 3). </w:t>
      </w:r>
    </w:p>
    <w:p w:rsidR="00D136A6" w:rsidRPr="00D136A6" w:rsidRDefault="00D136A6" w:rsidP="00D136A6">
      <w:pPr>
        <w:spacing w:line="360" w:lineRule="auto"/>
        <w:jc w:val="both"/>
        <w:rPr>
          <w:rFonts w:asciiTheme="minorHAnsi" w:hAnsiTheme="minorHAnsi"/>
          <w:sz w:val="24"/>
          <w:szCs w:val="24"/>
        </w:rPr>
      </w:pPr>
      <w:r w:rsidRPr="00D136A6">
        <w:rPr>
          <w:rFonts w:asciiTheme="minorHAnsi" w:hAnsiTheme="minorHAnsi"/>
          <w:sz w:val="24"/>
          <w:szCs w:val="24"/>
        </w:rPr>
        <w:tab/>
        <w:t>L’accumulation de compétences, le besoin de ressources (matières premières), de technologies mais aussi la recherche de nouveaux marchés, au sud et au nord, ont poussé les autorités à libéraliser progressivement l’accès des firmes aux financements domestiques et la sortie des capitaux pour lancer les entreprises chinoises à l’assaut des marchés étrangers. L’adhésion de la Chine en 2001 à l’OMC a modifié les règles du jeu: elle a ouvert (partiellement) le marché domestique aux firmes étrangères,  les firmes déjà implantées ont acquis une plus grande protection de leurs actifs, en particulier de la technologie (propriété intellectuelle). Pour le gouvernement et les firmes chinoises concernées, s’internationaliser c’était aussi, au-delà d’une « politique de la grandeur », le moyen de se rapprocher des centres producteurs de technologie en tentant d’acquérir des actifs que ces firmes ne pouvaient pas ou plus acquérir localement via la coopération industrielle classique. L’acquisition du groupe suédois Volvo par une compagnie chinoise de taille moyenne Geely illustre cette stratégie</w:t>
      </w:r>
      <w:r w:rsidRPr="00D136A6">
        <w:rPr>
          <w:rStyle w:val="Appelnotedebasdep1"/>
          <w:rFonts w:asciiTheme="minorHAnsi" w:hAnsiTheme="minorHAnsi"/>
          <w:sz w:val="24"/>
          <w:szCs w:val="24"/>
        </w:rPr>
        <w:footnoteReference w:id="19"/>
      </w:r>
      <w:r w:rsidRPr="00D136A6">
        <w:rPr>
          <w:rFonts w:asciiTheme="minorHAnsi" w:hAnsiTheme="minorHAnsi"/>
          <w:sz w:val="24"/>
          <w:szCs w:val="24"/>
        </w:rPr>
        <w:t>. La recherche d’actifs stratégiques est à la fois le moyen de rattrapage technologique et de mise à niveau des firmes domestiques, les rendant capables de concurrencer d’abord les firmes étrangères implantées dans le pays. D’un autre côté, le renforcement des «champions nationaux» grâce au soutien du gouvernement (financements, accès à la recherche-développement) ont permis à certaines firmes d’Etat dans les secteurs industriels classiques (machines, énergie, biens d’équipement) d’approfondir leurs spécialisations et de pouvoir concurrencer les firmes occidentales sur leurs propres marchés (par exemple les firmes chinoises dans le secteur nucléaire en Grande Bretagne, dans la défense en Turquie)</w:t>
      </w:r>
      <w:r w:rsidRPr="00D136A6">
        <w:rPr>
          <w:rStyle w:val="Appelnotedebasdep1"/>
          <w:rFonts w:asciiTheme="minorHAnsi" w:hAnsiTheme="minorHAnsi"/>
          <w:sz w:val="24"/>
          <w:szCs w:val="24"/>
        </w:rPr>
        <w:footnoteReference w:id="20"/>
      </w:r>
      <w:r w:rsidRPr="00D136A6">
        <w:rPr>
          <w:rFonts w:asciiTheme="minorHAnsi" w:hAnsiTheme="minorHAnsi"/>
          <w:sz w:val="24"/>
          <w:szCs w:val="24"/>
        </w:rPr>
        <w:t xml:space="preserve">. </w:t>
      </w:r>
    </w:p>
    <w:p w:rsidR="00D136A6" w:rsidRPr="00D136A6" w:rsidRDefault="00D136A6" w:rsidP="00D136A6">
      <w:pPr>
        <w:spacing w:line="360" w:lineRule="auto"/>
        <w:jc w:val="both"/>
        <w:rPr>
          <w:rFonts w:asciiTheme="minorHAnsi" w:hAnsiTheme="minorHAnsi"/>
          <w:b/>
          <w:sz w:val="24"/>
          <w:szCs w:val="24"/>
        </w:rPr>
      </w:pPr>
      <w:r w:rsidRPr="00D136A6">
        <w:rPr>
          <w:rFonts w:asciiTheme="minorHAnsi" w:hAnsiTheme="minorHAnsi"/>
          <w:sz w:val="24"/>
          <w:szCs w:val="24"/>
        </w:rPr>
        <w:t xml:space="preserve"> </w:t>
      </w:r>
    </w:p>
    <w:p w:rsidR="00D136A6" w:rsidRPr="00D136A6" w:rsidRDefault="00D136A6" w:rsidP="00D136A6">
      <w:pPr>
        <w:spacing w:line="360" w:lineRule="auto"/>
        <w:jc w:val="both"/>
        <w:rPr>
          <w:rFonts w:asciiTheme="minorHAnsi" w:hAnsiTheme="minorHAnsi"/>
          <w:b/>
          <w:sz w:val="24"/>
          <w:szCs w:val="24"/>
        </w:rPr>
      </w:pPr>
      <w:r w:rsidRPr="00D136A6">
        <w:rPr>
          <w:rFonts w:asciiTheme="minorHAnsi" w:hAnsiTheme="minorHAnsi"/>
          <w:b/>
          <w:sz w:val="24"/>
          <w:szCs w:val="24"/>
        </w:rPr>
        <w:t>Figure 1 : Les principales destinations des IDE chinois</w:t>
      </w:r>
    </w:p>
    <w:p w:rsidR="00D136A6" w:rsidRPr="00D136A6" w:rsidRDefault="00D136A6" w:rsidP="00D136A6">
      <w:pPr>
        <w:spacing w:line="360" w:lineRule="auto"/>
        <w:jc w:val="both"/>
        <w:rPr>
          <w:rFonts w:asciiTheme="minorHAnsi" w:hAnsiTheme="minorHAnsi"/>
          <w:b/>
          <w:sz w:val="24"/>
          <w:szCs w:val="24"/>
        </w:rPr>
      </w:pPr>
    </w:p>
    <w:p w:rsidR="00D136A6" w:rsidRPr="00D136A6" w:rsidRDefault="00D136A6" w:rsidP="00D136A6">
      <w:pPr>
        <w:spacing w:line="360" w:lineRule="auto"/>
        <w:jc w:val="both"/>
        <w:rPr>
          <w:rFonts w:asciiTheme="minorHAnsi" w:hAnsiTheme="minorHAnsi"/>
          <w:i/>
          <w:iCs/>
          <w:sz w:val="24"/>
          <w:szCs w:val="24"/>
        </w:rPr>
      </w:pPr>
      <w:r w:rsidRPr="00D136A6">
        <w:rPr>
          <w:rFonts w:asciiTheme="minorHAnsi" w:hAnsiTheme="minorHAnsi"/>
          <w:noProof/>
          <w:sz w:val="24"/>
          <w:szCs w:val="24"/>
        </w:rPr>
        <w:drawing>
          <wp:inline distT="0" distB="0" distL="0" distR="0">
            <wp:extent cx="5757545" cy="3657600"/>
            <wp:effectExtent l="0" t="0" r="825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757545" cy="3657600"/>
                    </a:xfrm>
                    <a:prstGeom prst="rect">
                      <a:avLst/>
                    </a:prstGeom>
                    <a:solidFill>
                      <a:srgbClr val="FFFFFF"/>
                    </a:solidFill>
                    <a:ln>
                      <a:noFill/>
                    </a:ln>
                  </pic:spPr>
                </pic:pic>
              </a:graphicData>
            </a:graphic>
          </wp:inline>
        </w:drawing>
      </w:r>
    </w:p>
    <w:p w:rsidR="00D136A6" w:rsidRDefault="00D136A6" w:rsidP="00D136A6">
      <w:pPr>
        <w:spacing w:line="360" w:lineRule="auto"/>
        <w:jc w:val="both"/>
        <w:rPr>
          <w:rFonts w:asciiTheme="minorHAnsi" w:hAnsiTheme="minorHAnsi"/>
          <w:i/>
          <w:iCs/>
          <w:sz w:val="24"/>
          <w:szCs w:val="24"/>
        </w:rPr>
      </w:pPr>
      <w:r w:rsidRPr="00D136A6">
        <w:rPr>
          <w:rFonts w:asciiTheme="minorHAnsi" w:hAnsiTheme="minorHAnsi"/>
          <w:i/>
          <w:iCs/>
          <w:sz w:val="24"/>
          <w:szCs w:val="24"/>
        </w:rPr>
        <w:t>Source : China Heritage Foundation</w:t>
      </w:r>
      <w:r w:rsidRPr="00D136A6">
        <w:rPr>
          <w:rStyle w:val="Appelnotedebasdep1"/>
          <w:rFonts w:asciiTheme="minorHAnsi" w:hAnsiTheme="minorHAnsi"/>
          <w:i/>
          <w:iCs/>
          <w:sz w:val="24"/>
          <w:szCs w:val="24"/>
        </w:rPr>
        <w:footnoteReference w:id="21"/>
      </w:r>
    </w:p>
    <w:p w:rsidR="00A3648B" w:rsidRPr="00D136A6" w:rsidRDefault="00A3648B" w:rsidP="00A3648B">
      <w:pPr>
        <w:spacing w:line="360" w:lineRule="auto"/>
        <w:jc w:val="both"/>
        <w:rPr>
          <w:rFonts w:asciiTheme="minorHAnsi" w:hAnsiTheme="minorHAnsi"/>
          <w:sz w:val="24"/>
          <w:szCs w:val="24"/>
        </w:rPr>
      </w:pPr>
      <w:r w:rsidRPr="00D136A6">
        <w:rPr>
          <w:rFonts w:asciiTheme="minorHAnsi" w:hAnsiTheme="minorHAnsi"/>
          <w:sz w:val="24"/>
          <w:szCs w:val="24"/>
        </w:rPr>
        <w:t>Ces firmes sont parmi les premières à s’être internationalisées.</w:t>
      </w:r>
    </w:p>
    <w:p w:rsidR="00A3648B" w:rsidRDefault="00A3648B" w:rsidP="00D136A6">
      <w:pPr>
        <w:spacing w:line="360" w:lineRule="auto"/>
        <w:jc w:val="both"/>
        <w:rPr>
          <w:rFonts w:asciiTheme="minorHAnsi" w:hAnsiTheme="minorHAnsi"/>
          <w:sz w:val="24"/>
          <w:szCs w:val="24"/>
        </w:rPr>
      </w:pPr>
    </w:p>
    <w:p w:rsidR="00D136A6" w:rsidRPr="00D136A6" w:rsidRDefault="00D136A6" w:rsidP="00A3648B">
      <w:pPr>
        <w:spacing w:line="360" w:lineRule="auto"/>
        <w:ind w:firstLine="708"/>
        <w:jc w:val="both"/>
        <w:rPr>
          <w:rFonts w:asciiTheme="minorHAnsi" w:hAnsiTheme="minorHAnsi"/>
          <w:sz w:val="24"/>
          <w:szCs w:val="24"/>
        </w:rPr>
      </w:pPr>
      <w:r w:rsidRPr="00D136A6">
        <w:rPr>
          <w:rFonts w:asciiTheme="minorHAnsi" w:hAnsiTheme="minorHAnsi"/>
          <w:sz w:val="24"/>
          <w:szCs w:val="24"/>
        </w:rPr>
        <w:t>Aujourd’hui, la situation s’est modifiée. L’internationalisation des firmes concerne une variété d’acteurs, de destinations, de secteurs. L’Europe est devenue aujourd’hui une des destinations des investisseurs en provenance de Chine (Encadré 1).</w:t>
      </w:r>
    </w:p>
    <w:p w:rsidR="00D136A6" w:rsidRPr="00D136A6" w:rsidRDefault="00D136A6" w:rsidP="00D136A6">
      <w:pPr>
        <w:spacing w:line="360" w:lineRule="auto"/>
        <w:jc w:val="both"/>
        <w:rPr>
          <w:rFonts w:asciiTheme="minorHAnsi" w:hAnsiTheme="minorHAnsi"/>
          <w:sz w:val="24"/>
          <w:szCs w:val="24"/>
        </w:rPr>
      </w:pPr>
    </w:p>
    <w:p w:rsidR="00D136A6" w:rsidRPr="00D136A6" w:rsidRDefault="00D136A6" w:rsidP="00D136A6">
      <w:pPr>
        <w:spacing w:line="360" w:lineRule="auto"/>
        <w:jc w:val="center"/>
        <w:rPr>
          <w:rFonts w:asciiTheme="minorHAnsi" w:hAnsiTheme="minorHAnsi"/>
          <w:sz w:val="24"/>
          <w:szCs w:val="24"/>
        </w:rPr>
      </w:pPr>
      <w:r w:rsidRPr="00D136A6">
        <w:rPr>
          <w:rFonts w:asciiTheme="minorHAnsi" w:hAnsiTheme="minorHAnsi"/>
          <w:b/>
          <w:sz w:val="24"/>
          <w:szCs w:val="24"/>
        </w:rPr>
        <w:t>Encadré 1 : Les IDE chinois : Acteurs, Destinations, Objectifs</w:t>
      </w:r>
    </w:p>
    <w:tbl>
      <w:tblPr>
        <w:tblW w:w="0" w:type="auto"/>
        <w:tblInd w:w="-40" w:type="dxa"/>
        <w:tblLayout w:type="fixed"/>
        <w:tblLook w:val="0000"/>
      </w:tblPr>
      <w:tblGrid>
        <w:gridCol w:w="9136"/>
      </w:tblGrid>
      <w:tr w:rsidR="00D136A6" w:rsidRPr="00D136A6">
        <w:tc>
          <w:tcPr>
            <w:tcW w:w="9136" w:type="dxa"/>
            <w:tcBorders>
              <w:top w:val="single" w:sz="4" w:space="0" w:color="000000"/>
              <w:left w:val="single" w:sz="4" w:space="0" w:color="000000"/>
              <w:bottom w:val="single" w:sz="4" w:space="0" w:color="000000"/>
              <w:right w:val="single" w:sz="4" w:space="0" w:color="000000"/>
            </w:tcBorders>
            <w:shd w:val="clear" w:color="auto" w:fill="auto"/>
          </w:tcPr>
          <w:p w:rsidR="00D136A6" w:rsidRPr="00D136A6" w:rsidRDefault="00D136A6" w:rsidP="0066667A">
            <w:pPr>
              <w:rPr>
                <w:rFonts w:asciiTheme="minorHAnsi" w:hAnsiTheme="minorHAnsi"/>
                <w:sz w:val="24"/>
                <w:szCs w:val="24"/>
              </w:rPr>
            </w:pPr>
            <w:r w:rsidRPr="00D136A6">
              <w:rPr>
                <w:rFonts w:asciiTheme="minorHAnsi" w:hAnsiTheme="minorHAnsi"/>
                <w:sz w:val="24"/>
                <w:szCs w:val="24"/>
              </w:rPr>
              <w:t xml:space="preserve">Une variété d’acteurs : </w:t>
            </w:r>
          </w:p>
          <w:p w:rsidR="00D136A6" w:rsidRPr="00D136A6" w:rsidRDefault="00D136A6" w:rsidP="0066667A">
            <w:pPr>
              <w:ind w:firstLine="708"/>
              <w:rPr>
                <w:rFonts w:asciiTheme="minorHAnsi" w:hAnsiTheme="minorHAnsi"/>
                <w:sz w:val="24"/>
                <w:szCs w:val="24"/>
              </w:rPr>
            </w:pPr>
            <w:r w:rsidRPr="00D136A6">
              <w:rPr>
                <w:rFonts w:asciiTheme="minorHAnsi" w:hAnsiTheme="minorHAnsi"/>
                <w:sz w:val="24"/>
                <w:szCs w:val="24"/>
              </w:rPr>
              <w:t>Le gouvernement central, les Provinces et Municipalités, Les banques d’Etat, les Entreprises d’état, sociétés de capitaux, privées, PME, familiales</w:t>
            </w:r>
          </w:p>
          <w:p w:rsidR="00D136A6" w:rsidRPr="00D136A6" w:rsidRDefault="00D136A6" w:rsidP="0066667A">
            <w:pPr>
              <w:rPr>
                <w:rFonts w:asciiTheme="minorHAnsi" w:hAnsiTheme="minorHAnsi"/>
                <w:sz w:val="24"/>
                <w:szCs w:val="24"/>
              </w:rPr>
            </w:pPr>
            <w:r w:rsidRPr="00D136A6">
              <w:rPr>
                <w:rFonts w:asciiTheme="minorHAnsi" w:hAnsiTheme="minorHAnsi"/>
                <w:sz w:val="24"/>
                <w:szCs w:val="24"/>
              </w:rPr>
              <w:t>Une variété de financements :</w:t>
            </w:r>
          </w:p>
          <w:p w:rsidR="00D136A6" w:rsidRPr="00D136A6" w:rsidRDefault="00D136A6" w:rsidP="0066667A">
            <w:pPr>
              <w:ind w:firstLine="708"/>
              <w:rPr>
                <w:rFonts w:asciiTheme="minorHAnsi" w:hAnsiTheme="minorHAnsi"/>
                <w:sz w:val="24"/>
                <w:szCs w:val="24"/>
              </w:rPr>
            </w:pPr>
            <w:r w:rsidRPr="00D136A6">
              <w:rPr>
                <w:rFonts w:asciiTheme="minorHAnsi" w:hAnsiTheme="minorHAnsi"/>
                <w:sz w:val="24"/>
                <w:szCs w:val="24"/>
              </w:rPr>
              <w:t xml:space="preserve"> Public, subventions, privé, autofinancement, </w:t>
            </w:r>
          </w:p>
          <w:p w:rsidR="00D136A6" w:rsidRPr="00D136A6" w:rsidRDefault="00D136A6" w:rsidP="0066667A">
            <w:pPr>
              <w:rPr>
                <w:rFonts w:asciiTheme="minorHAnsi" w:hAnsiTheme="minorHAnsi"/>
                <w:sz w:val="24"/>
                <w:szCs w:val="24"/>
              </w:rPr>
            </w:pPr>
            <w:r w:rsidRPr="00D136A6">
              <w:rPr>
                <w:rFonts w:asciiTheme="minorHAnsi" w:hAnsiTheme="minorHAnsi"/>
                <w:sz w:val="24"/>
                <w:szCs w:val="24"/>
              </w:rPr>
              <w:t>Une variété de destinations :</w:t>
            </w:r>
          </w:p>
          <w:p w:rsidR="00D136A6" w:rsidRPr="00D136A6" w:rsidRDefault="00D136A6" w:rsidP="0066667A">
            <w:pPr>
              <w:ind w:firstLine="708"/>
              <w:rPr>
                <w:rFonts w:asciiTheme="minorHAnsi" w:hAnsiTheme="minorHAnsi"/>
                <w:sz w:val="24"/>
                <w:szCs w:val="24"/>
              </w:rPr>
            </w:pPr>
            <w:r w:rsidRPr="00D136A6">
              <w:rPr>
                <w:rFonts w:asciiTheme="minorHAnsi" w:hAnsiTheme="minorHAnsi"/>
                <w:sz w:val="24"/>
                <w:szCs w:val="24"/>
              </w:rPr>
              <w:t xml:space="preserve">US </w:t>
            </w:r>
            <w:r w:rsidRPr="00D136A6">
              <w:rPr>
                <w:rFonts w:asciiTheme="minorHAnsi" w:hAnsiTheme="minorHAnsi"/>
                <w:i/>
                <w:sz w:val="24"/>
                <w:szCs w:val="24"/>
              </w:rPr>
              <w:t xml:space="preserve">vs. </w:t>
            </w:r>
            <w:r w:rsidRPr="00D136A6">
              <w:rPr>
                <w:rFonts w:asciiTheme="minorHAnsi" w:hAnsiTheme="minorHAnsi"/>
                <w:sz w:val="24"/>
                <w:szCs w:val="24"/>
              </w:rPr>
              <w:t>Europe ?</w:t>
            </w:r>
          </w:p>
          <w:p w:rsidR="00D136A6" w:rsidRPr="00D136A6" w:rsidRDefault="00D136A6" w:rsidP="0066667A">
            <w:pPr>
              <w:ind w:firstLine="708"/>
              <w:rPr>
                <w:rFonts w:asciiTheme="minorHAnsi" w:hAnsiTheme="minorHAnsi"/>
                <w:sz w:val="24"/>
                <w:szCs w:val="24"/>
              </w:rPr>
            </w:pPr>
            <w:r w:rsidRPr="00D136A6">
              <w:rPr>
                <w:rFonts w:asciiTheme="minorHAnsi" w:hAnsiTheme="minorHAnsi"/>
                <w:sz w:val="24"/>
                <w:szCs w:val="24"/>
              </w:rPr>
              <w:t>Europe : UE-15, UE 28,  1+16</w:t>
            </w:r>
          </w:p>
          <w:p w:rsidR="00D136A6" w:rsidRPr="00D136A6" w:rsidRDefault="00D136A6" w:rsidP="0066667A">
            <w:pPr>
              <w:rPr>
                <w:rFonts w:asciiTheme="minorHAnsi" w:hAnsiTheme="minorHAnsi"/>
                <w:sz w:val="24"/>
                <w:szCs w:val="24"/>
              </w:rPr>
            </w:pPr>
            <w:r w:rsidRPr="00D136A6">
              <w:rPr>
                <w:rFonts w:asciiTheme="minorHAnsi" w:hAnsiTheme="minorHAnsi"/>
                <w:sz w:val="24"/>
                <w:szCs w:val="24"/>
              </w:rPr>
              <w:t>Différents modes d’entrée et de contrôle</w:t>
            </w:r>
          </w:p>
          <w:p w:rsidR="00D136A6" w:rsidRPr="00D136A6" w:rsidRDefault="00D136A6" w:rsidP="0066667A">
            <w:pPr>
              <w:ind w:firstLine="708"/>
              <w:rPr>
                <w:rFonts w:asciiTheme="minorHAnsi" w:hAnsiTheme="minorHAnsi"/>
                <w:sz w:val="24"/>
                <w:szCs w:val="24"/>
              </w:rPr>
            </w:pPr>
            <w:r w:rsidRPr="00D136A6">
              <w:rPr>
                <w:rFonts w:asciiTheme="minorHAnsi" w:hAnsiTheme="minorHAnsi"/>
                <w:sz w:val="24"/>
                <w:szCs w:val="24"/>
              </w:rPr>
              <w:t>Investissements directs : Fusions et acquisitions, investissements vierges</w:t>
            </w:r>
          </w:p>
          <w:p w:rsidR="00D136A6" w:rsidRPr="00D136A6" w:rsidRDefault="00D136A6" w:rsidP="0066667A">
            <w:pPr>
              <w:ind w:firstLine="708"/>
              <w:rPr>
                <w:rFonts w:asciiTheme="minorHAnsi" w:hAnsiTheme="minorHAnsi"/>
                <w:sz w:val="24"/>
                <w:szCs w:val="24"/>
              </w:rPr>
            </w:pPr>
            <w:r w:rsidRPr="00D136A6">
              <w:rPr>
                <w:rFonts w:asciiTheme="minorHAnsi" w:hAnsiTheme="minorHAnsi"/>
                <w:sz w:val="24"/>
                <w:szCs w:val="24"/>
              </w:rPr>
              <w:t xml:space="preserve">et/ou routes commerciales : </w:t>
            </w:r>
            <w:r w:rsidRPr="00D136A6">
              <w:rPr>
                <w:rFonts w:asciiTheme="minorHAnsi" w:hAnsiTheme="minorHAnsi"/>
                <w:i/>
                <w:sz w:val="24"/>
                <w:szCs w:val="24"/>
              </w:rPr>
              <w:t>One Belt, One road</w:t>
            </w:r>
            <w:r w:rsidRPr="00D136A6">
              <w:rPr>
                <w:rFonts w:asciiTheme="minorHAnsi" w:hAnsiTheme="minorHAnsi"/>
                <w:sz w:val="24"/>
                <w:szCs w:val="24"/>
              </w:rPr>
              <w:t>, routes de la soie, mer, terre</w:t>
            </w:r>
          </w:p>
          <w:p w:rsidR="00D136A6" w:rsidRPr="00D136A6" w:rsidRDefault="00D136A6" w:rsidP="0066667A">
            <w:pPr>
              <w:ind w:firstLine="708"/>
              <w:rPr>
                <w:rFonts w:asciiTheme="minorHAnsi" w:hAnsiTheme="minorHAnsi"/>
                <w:sz w:val="24"/>
                <w:szCs w:val="24"/>
              </w:rPr>
            </w:pPr>
            <w:r w:rsidRPr="00D136A6">
              <w:rPr>
                <w:rFonts w:asciiTheme="minorHAnsi" w:hAnsiTheme="minorHAnsi"/>
                <w:sz w:val="24"/>
                <w:szCs w:val="24"/>
              </w:rPr>
              <w:t>Contrôle majoritaire, minoritaire des firmes acquises</w:t>
            </w:r>
          </w:p>
          <w:p w:rsidR="00D136A6" w:rsidRPr="00D136A6" w:rsidRDefault="00D136A6" w:rsidP="0066667A">
            <w:pPr>
              <w:rPr>
                <w:rFonts w:asciiTheme="minorHAnsi" w:hAnsiTheme="minorHAnsi"/>
                <w:sz w:val="24"/>
                <w:szCs w:val="24"/>
              </w:rPr>
            </w:pPr>
            <w:r w:rsidRPr="00D136A6">
              <w:rPr>
                <w:rFonts w:asciiTheme="minorHAnsi" w:hAnsiTheme="minorHAnsi"/>
                <w:sz w:val="24"/>
                <w:szCs w:val="24"/>
              </w:rPr>
              <w:t>Différents ciblages :</w:t>
            </w:r>
          </w:p>
          <w:p w:rsidR="00D136A6" w:rsidRPr="00D136A6" w:rsidRDefault="00D136A6" w:rsidP="0066667A">
            <w:pPr>
              <w:ind w:firstLine="708"/>
              <w:rPr>
                <w:rFonts w:asciiTheme="minorHAnsi" w:hAnsiTheme="minorHAnsi"/>
                <w:sz w:val="24"/>
                <w:szCs w:val="24"/>
              </w:rPr>
            </w:pPr>
            <w:r w:rsidRPr="00D136A6">
              <w:rPr>
                <w:rFonts w:asciiTheme="minorHAnsi" w:hAnsiTheme="minorHAnsi"/>
                <w:sz w:val="24"/>
                <w:szCs w:val="24"/>
              </w:rPr>
              <w:t>Technologies : moyennes, hautes</w:t>
            </w:r>
          </w:p>
          <w:p w:rsidR="00D136A6" w:rsidRPr="00D136A6" w:rsidRDefault="00D136A6" w:rsidP="0066667A">
            <w:pPr>
              <w:ind w:firstLine="708"/>
              <w:rPr>
                <w:rFonts w:asciiTheme="minorHAnsi" w:hAnsiTheme="minorHAnsi"/>
                <w:sz w:val="24"/>
                <w:szCs w:val="24"/>
              </w:rPr>
            </w:pPr>
            <w:r w:rsidRPr="00D136A6">
              <w:rPr>
                <w:rFonts w:asciiTheme="minorHAnsi" w:hAnsiTheme="minorHAnsi"/>
                <w:sz w:val="24"/>
                <w:szCs w:val="24"/>
              </w:rPr>
              <w:t xml:space="preserve">Recherches d’actifs stratégiques </w:t>
            </w:r>
            <w:r w:rsidRPr="00D136A6">
              <w:rPr>
                <w:rFonts w:asciiTheme="minorHAnsi" w:hAnsiTheme="minorHAnsi"/>
                <w:i/>
                <w:sz w:val="24"/>
                <w:szCs w:val="24"/>
              </w:rPr>
              <w:t>vs.</w:t>
            </w:r>
            <w:r w:rsidRPr="00D136A6">
              <w:rPr>
                <w:rFonts w:asciiTheme="minorHAnsi" w:hAnsiTheme="minorHAnsi"/>
                <w:sz w:val="24"/>
                <w:szCs w:val="24"/>
              </w:rPr>
              <w:t xml:space="preserve"> Marchés pour les produits chinois.</w:t>
            </w:r>
          </w:p>
          <w:p w:rsidR="00D136A6" w:rsidRPr="00D136A6" w:rsidRDefault="00D136A6" w:rsidP="0066667A">
            <w:pPr>
              <w:ind w:firstLine="708"/>
              <w:rPr>
                <w:rFonts w:asciiTheme="minorHAnsi" w:hAnsiTheme="minorHAnsi"/>
                <w:sz w:val="24"/>
                <w:szCs w:val="24"/>
              </w:rPr>
            </w:pPr>
            <w:r w:rsidRPr="00D136A6">
              <w:rPr>
                <w:rFonts w:asciiTheme="minorHAnsi" w:hAnsiTheme="minorHAnsi"/>
                <w:sz w:val="24"/>
                <w:szCs w:val="24"/>
              </w:rPr>
              <w:t>Evasion, investissements circulaires, valorisation, spéculation</w:t>
            </w:r>
          </w:p>
          <w:p w:rsidR="00D136A6" w:rsidRPr="00D136A6" w:rsidRDefault="00D136A6" w:rsidP="0066667A">
            <w:pPr>
              <w:ind w:firstLine="708"/>
              <w:rPr>
                <w:rFonts w:asciiTheme="minorHAnsi" w:hAnsiTheme="minorHAnsi"/>
                <w:sz w:val="24"/>
                <w:szCs w:val="24"/>
              </w:rPr>
            </w:pPr>
            <w:r w:rsidRPr="00D136A6">
              <w:rPr>
                <w:rFonts w:asciiTheme="minorHAnsi" w:hAnsiTheme="minorHAnsi"/>
                <w:sz w:val="24"/>
                <w:szCs w:val="24"/>
              </w:rPr>
              <w:t xml:space="preserve">Industrie </w:t>
            </w:r>
            <w:r w:rsidRPr="00D136A6">
              <w:rPr>
                <w:rFonts w:asciiTheme="minorHAnsi" w:hAnsiTheme="minorHAnsi"/>
                <w:i/>
                <w:sz w:val="24"/>
                <w:szCs w:val="24"/>
              </w:rPr>
              <w:t>vs.</w:t>
            </w:r>
            <w:r w:rsidRPr="00D136A6">
              <w:rPr>
                <w:rFonts w:asciiTheme="minorHAnsi" w:hAnsiTheme="minorHAnsi"/>
                <w:sz w:val="24"/>
                <w:szCs w:val="24"/>
              </w:rPr>
              <w:t xml:space="preserve"> Services, finances, immobilier commercial</w:t>
            </w:r>
          </w:p>
          <w:p w:rsidR="00D136A6" w:rsidRPr="00D136A6" w:rsidRDefault="00D136A6" w:rsidP="0066667A">
            <w:pPr>
              <w:ind w:firstLine="708"/>
              <w:rPr>
                <w:rFonts w:asciiTheme="minorHAnsi" w:hAnsiTheme="minorHAnsi"/>
                <w:sz w:val="24"/>
                <w:szCs w:val="24"/>
              </w:rPr>
            </w:pPr>
            <w:r w:rsidRPr="00D136A6">
              <w:rPr>
                <w:rFonts w:asciiTheme="minorHAnsi" w:hAnsiTheme="minorHAnsi"/>
                <w:sz w:val="24"/>
                <w:szCs w:val="24"/>
              </w:rPr>
              <w:t>Spécialisation, Approfondissement vs. Diversification</w:t>
            </w:r>
          </w:p>
          <w:p w:rsidR="00D136A6" w:rsidRPr="00D136A6" w:rsidRDefault="00D136A6" w:rsidP="0066667A">
            <w:pPr>
              <w:rPr>
                <w:rFonts w:asciiTheme="minorHAnsi" w:hAnsiTheme="minorHAnsi"/>
                <w:sz w:val="24"/>
                <w:szCs w:val="24"/>
              </w:rPr>
            </w:pPr>
            <w:r w:rsidRPr="00D136A6">
              <w:rPr>
                <w:rFonts w:asciiTheme="minorHAnsi" w:hAnsiTheme="minorHAnsi"/>
                <w:sz w:val="24"/>
                <w:szCs w:val="24"/>
              </w:rPr>
              <w:t xml:space="preserve">Le marché chinois ou mondial </w:t>
            </w:r>
          </w:p>
          <w:p w:rsidR="00D136A6" w:rsidRPr="00D136A6" w:rsidRDefault="00D136A6" w:rsidP="0066667A">
            <w:pPr>
              <w:ind w:firstLine="708"/>
              <w:rPr>
                <w:rFonts w:asciiTheme="minorHAnsi" w:hAnsiTheme="minorHAnsi"/>
                <w:sz w:val="24"/>
                <w:szCs w:val="24"/>
              </w:rPr>
            </w:pPr>
            <w:r w:rsidRPr="00D136A6">
              <w:rPr>
                <w:rFonts w:asciiTheme="minorHAnsi" w:hAnsiTheme="minorHAnsi"/>
                <w:sz w:val="24"/>
                <w:szCs w:val="24"/>
              </w:rPr>
              <w:t xml:space="preserve">Multinationalisation </w:t>
            </w:r>
            <w:r w:rsidRPr="00D136A6">
              <w:rPr>
                <w:rFonts w:asciiTheme="minorHAnsi" w:hAnsiTheme="minorHAnsi"/>
                <w:i/>
                <w:sz w:val="24"/>
                <w:szCs w:val="24"/>
              </w:rPr>
              <w:t xml:space="preserve">vs. </w:t>
            </w:r>
            <w:r w:rsidRPr="00D136A6">
              <w:rPr>
                <w:rFonts w:asciiTheme="minorHAnsi" w:hAnsiTheme="minorHAnsi"/>
                <w:sz w:val="24"/>
                <w:szCs w:val="24"/>
              </w:rPr>
              <w:t>Rapatriement vers le marché domestique, dépeçage d’actifs étrangers</w:t>
            </w:r>
          </w:p>
          <w:p w:rsidR="00D136A6" w:rsidRPr="00D136A6" w:rsidRDefault="00D136A6" w:rsidP="0066667A">
            <w:pPr>
              <w:ind w:firstLine="708"/>
              <w:rPr>
                <w:rFonts w:asciiTheme="minorHAnsi" w:hAnsiTheme="minorHAnsi"/>
                <w:sz w:val="24"/>
                <w:szCs w:val="24"/>
              </w:rPr>
            </w:pPr>
            <w:r w:rsidRPr="00D136A6">
              <w:rPr>
                <w:rFonts w:asciiTheme="minorHAnsi" w:hAnsiTheme="minorHAnsi"/>
                <w:sz w:val="24"/>
                <w:szCs w:val="24"/>
              </w:rPr>
              <w:t>Croissance du marché domestique, approfondissement vs. Diversification</w:t>
            </w:r>
          </w:p>
          <w:p w:rsidR="00D136A6" w:rsidRPr="00D136A6" w:rsidRDefault="00D136A6" w:rsidP="0066667A">
            <w:pPr>
              <w:spacing w:line="360" w:lineRule="auto"/>
              <w:rPr>
                <w:rFonts w:asciiTheme="minorHAnsi" w:hAnsiTheme="minorHAnsi"/>
                <w:sz w:val="24"/>
                <w:szCs w:val="24"/>
              </w:rPr>
            </w:pPr>
            <w:r w:rsidRPr="00D136A6">
              <w:rPr>
                <w:rFonts w:asciiTheme="minorHAnsi" w:hAnsiTheme="minorHAnsi"/>
                <w:sz w:val="24"/>
                <w:szCs w:val="24"/>
              </w:rPr>
              <w:t xml:space="preserve">Multinationalisation </w:t>
            </w:r>
            <w:r w:rsidRPr="00D136A6">
              <w:rPr>
                <w:rFonts w:asciiTheme="minorHAnsi" w:hAnsiTheme="minorHAnsi"/>
                <w:i/>
                <w:sz w:val="24"/>
                <w:szCs w:val="24"/>
              </w:rPr>
              <w:t xml:space="preserve">vs. </w:t>
            </w:r>
            <w:r w:rsidRPr="00D136A6">
              <w:rPr>
                <w:rFonts w:asciiTheme="minorHAnsi" w:hAnsiTheme="minorHAnsi"/>
                <w:sz w:val="24"/>
                <w:szCs w:val="24"/>
              </w:rPr>
              <w:t>Rapatriement vers le marché domestique, dépeçage d’actifs étrangers</w:t>
            </w:r>
          </w:p>
          <w:p w:rsidR="00D136A6" w:rsidRPr="00D136A6" w:rsidRDefault="00D136A6" w:rsidP="0066667A">
            <w:pPr>
              <w:spacing w:line="360" w:lineRule="auto"/>
              <w:rPr>
                <w:rFonts w:asciiTheme="minorHAnsi" w:hAnsiTheme="minorHAnsi"/>
              </w:rPr>
            </w:pPr>
            <w:r w:rsidRPr="00D136A6">
              <w:rPr>
                <w:rFonts w:asciiTheme="minorHAnsi" w:hAnsiTheme="minorHAnsi"/>
                <w:sz w:val="24"/>
                <w:szCs w:val="24"/>
              </w:rPr>
              <w:t>Croissance du marché : le marché chinois ou mondial</w:t>
            </w:r>
          </w:p>
        </w:tc>
      </w:tr>
    </w:tbl>
    <w:p w:rsidR="00D136A6" w:rsidRPr="00D136A6" w:rsidRDefault="00D136A6" w:rsidP="00D136A6">
      <w:pPr>
        <w:spacing w:line="360" w:lineRule="auto"/>
        <w:rPr>
          <w:rFonts w:asciiTheme="minorHAnsi" w:hAnsiTheme="minorHAnsi"/>
          <w:sz w:val="24"/>
          <w:szCs w:val="24"/>
        </w:rPr>
      </w:pPr>
    </w:p>
    <w:p w:rsidR="00D136A6" w:rsidRPr="00D136A6" w:rsidRDefault="00D136A6" w:rsidP="00D136A6">
      <w:pPr>
        <w:spacing w:line="360" w:lineRule="auto"/>
        <w:jc w:val="both"/>
        <w:rPr>
          <w:rFonts w:asciiTheme="minorHAnsi" w:hAnsiTheme="minorHAnsi"/>
          <w:sz w:val="24"/>
          <w:szCs w:val="24"/>
        </w:rPr>
      </w:pPr>
      <w:r w:rsidRPr="00D136A6">
        <w:rPr>
          <w:rFonts w:asciiTheme="minorHAnsi" w:hAnsiTheme="minorHAnsi"/>
          <w:sz w:val="24"/>
          <w:szCs w:val="24"/>
        </w:rPr>
        <w:t>Les grandes firmes d’Etat contribuent toujours à la plus grosse partie de la production et des exportations de biens à haute valeur ajoutée. Elles contribuent encore à une grande partie de l’investissement direct étranger même si la part des firmes privées commence à les rattraper (proche de 50-50). L’accès aux technologies via l’investissement dans les économies de marché a été le principal moteur de ce mouvement d’internationalisation avant que d’autres facteurs n’entrent en jeu (recherche de marchés, diversification des risques, placements financiers)</w:t>
      </w:r>
      <w:r w:rsidRPr="00D136A6">
        <w:rPr>
          <w:rStyle w:val="Appelnotedebasdep1"/>
          <w:rFonts w:asciiTheme="minorHAnsi" w:hAnsiTheme="minorHAnsi"/>
          <w:sz w:val="24"/>
          <w:szCs w:val="24"/>
        </w:rPr>
        <w:footnoteReference w:id="22"/>
      </w:r>
      <w:r w:rsidRPr="00D136A6">
        <w:rPr>
          <w:rFonts w:asciiTheme="minorHAnsi" w:hAnsiTheme="minorHAnsi"/>
          <w:sz w:val="24"/>
          <w:szCs w:val="24"/>
        </w:rPr>
        <w:t>.</w:t>
      </w:r>
    </w:p>
    <w:p w:rsidR="00A3648B" w:rsidRDefault="00A3648B" w:rsidP="00A3648B">
      <w:pPr>
        <w:spacing w:line="360" w:lineRule="auto"/>
        <w:jc w:val="both"/>
        <w:rPr>
          <w:rFonts w:asciiTheme="minorHAnsi" w:hAnsiTheme="minorHAnsi"/>
          <w:b/>
          <w:sz w:val="24"/>
          <w:szCs w:val="24"/>
        </w:rPr>
      </w:pPr>
    </w:p>
    <w:p w:rsidR="00A3648B" w:rsidRPr="00D136A6" w:rsidRDefault="00A3648B" w:rsidP="00A3648B">
      <w:pPr>
        <w:spacing w:line="360" w:lineRule="auto"/>
        <w:jc w:val="both"/>
        <w:rPr>
          <w:rFonts w:asciiTheme="minorHAnsi" w:hAnsiTheme="minorHAnsi"/>
          <w:sz w:val="24"/>
          <w:szCs w:val="24"/>
        </w:rPr>
      </w:pPr>
      <w:r w:rsidRPr="00D136A6">
        <w:rPr>
          <w:rFonts w:asciiTheme="minorHAnsi" w:hAnsiTheme="minorHAnsi"/>
          <w:b/>
          <w:sz w:val="24"/>
          <w:szCs w:val="24"/>
        </w:rPr>
        <w:t>Figure 2: Les différents types d’entreprises chinoises présentes en Europe</w:t>
      </w:r>
    </w:p>
    <w:p w:rsidR="00A3648B" w:rsidRPr="00D136A6" w:rsidRDefault="00A3648B" w:rsidP="00A3648B">
      <w:pPr>
        <w:spacing w:line="360" w:lineRule="auto"/>
        <w:jc w:val="both"/>
        <w:rPr>
          <w:rFonts w:asciiTheme="minorHAnsi" w:hAnsiTheme="minorHAnsi"/>
          <w:sz w:val="24"/>
          <w:szCs w:val="24"/>
        </w:rPr>
      </w:pPr>
    </w:p>
    <w:tbl>
      <w:tblPr>
        <w:tblW w:w="0" w:type="auto"/>
        <w:tblInd w:w="-40" w:type="dxa"/>
        <w:tblLayout w:type="fixed"/>
        <w:tblLook w:val="0000"/>
      </w:tblPr>
      <w:tblGrid>
        <w:gridCol w:w="2263"/>
        <w:gridCol w:w="1874"/>
        <w:gridCol w:w="2654"/>
        <w:gridCol w:w="2344"/>
      </w:tblGrid>
      <w:tr w:rsidR="00A3648B" w:rsidRPr="00D136A6">
        <w:tc>
          <w:tcPr>
            <w:tcW w:w="2263" w:type="dxa"/>
            <w:tcBorders>
              <w:top w:val="single" w:sz="4" w:space="0" w:color="000000"/>
              <w:left w:val="single" w:sz="4" w:space="0" w:color="000000"/>
              <w:bottom w:val="single" w:sz="4" w:space="0" w:color="000000"/>
            </w:tcBorders>
            <w:shd w:val="clear" w:color="auto" w:fill="auto"/>
          </w:tcPr>
          <w:p w:rsidR="00A3648B" w:rsidRPr="00D136A6" w:rsidRDefault="00A3648B" w:rsidP="0066667A">
            <w:pPr>
              <w:snapToGrid w:val="0"/>
              <w:jc w:val="both"/>
              <w:rPr>
                <w:rFonts w:asciiTheme="minorHAnsi" w:hAnsiTheme="minorHAnsi"/>
                <w:sz w:val="24"/>
                <w:szCs w:val="24"/>
              </w:rPr>
            </w:pPr>
          </w:p>
        </w:tc>
        <w:tc>
          <w:tcPr>
            <w:tcW w:w="1874" w:type="dxa"/>
            <w:tcBorders>
              <w:top w:val="single" w:sz="4" w:space="0" w:color="000000"/>
              <w:left w:val="single" w:sz="4" w:space="0" w:color="000000"/>
              <w:bottom w:val="single" w:sz="4" w:space="0" w:color="000000"/>
            </w:tcBorders>
            <w:shd w:val="clear" w:color="auto" w:fill="auto"/>
          </w:tcPr>
          <w:p w:rsidR="00A3648B" w:rsidRPr="00D136A6" w:rsidRDefault="00A3648B" w:rsidP="0066667A">
            <w:pPr>
              <w:jc w:val="both"/>
              <w:rPr>
                <w:rFonts w:asciiTheme="minorHAnsi" w:hAnsiTheme="minorHAnsi"/>
                <w:b/>
                <w:bCs/>
                <w:sz w:val="24"/>
                <w:szCs w:val="24"/>
              </w:rPr>
            </w:pPr>
            <w:r w:rsidRPr="00D136A6">
              <w:rPr>
                <w:rFonts w:asciiTheme="minorHAnsi" w:hAnsiTheme="minorHAnsi"/>
                <w:b/>
                <w:bCs/>
                <w:sz w:val="24"/>
                <w:szCs w:val="24"/>
              </w:rPr>
              <w:t>Entreprises d’Etat</w:t>
            </w:r>
          </w:p>
        </w:tc>
        <w:tc>
          <w:tcPr>
            <w:tcW w:w="2654" w:type="dxa"/>
            <w:tcBorders>
              <w:top w:val="single" w:sz="4" w:space="0" w:color="000000"/>
              <w:left w:val="single" w:sz="4" w:space="0" w:color="000000"/>
              <w:bottom w:val="single" w:sz="4" w:space="0" w:color="000000"/>
            </w:tcBorders>
            <w:shd w:val="clear" w:color="auto" w:fill="auto"/>
          </w:tcPr>
          <w:p w:rsidR="00A3648B" w:rsidRPr="00D136A6" w:rsidRDefault="00A3648B" w:rsidP="0066667A">
            <w:pPr>
              <w:jc w:val="both"/>
              <w:rPr>
                <w:rFonts w:asciiTheme="minorHAnsi" w:hAnsiTheme="minorHAnsi"/>
                <w:b/>
                <w:bCs/>
                <w:sz w:val="24"/>
                <w:szCs w:val="24"/>
              </w:rPr>
            </w:pPr>
            <w:r w:rsidRPr="00D136A6">
              <w:rPr>
                <w:rFonts w:asciiTheme="minorHAnsi" w:hAnsiTheme="minorHAnsi"/>
                <w:b/>
                <w:bCs/>
                <w:sz w:val="24"/>
                <w:szCs w:val="24"/>
              </w:rPr>
              <w:t>Sociétés privées</w:t>
            </w:r>
          </w:p>
        </w:tc>
        <w:tc>
          <w:tcPr>
            <w:tcW w:w="2344" w:type="dxa"/>
            <w:tcBorders>
              <w:top w:val="single" w:sz="4" w:space="0" w:color="000000"/>
              <w:left w:val="single" w:sz="4" w:space="0" w:color="000000"/>
              <w:bottom w:val="single" w:sz="4" w:space="0" w:color="000000"/>
              <w:right w:val="single" w:sz="4" w:space="0" w:color="000000"/>
            </w:tcBorders>
            <w:shd w:val="clear" w:color="auto" w:fill="auto"/>
          </w:tcPr>
          <w:p w:rsidR="00A3648B" w:rsidRPr="00D136A6" w:rsidRDefault="00A3648B" w:rsidP="0066667A">
            <w:pPr>
              <w:jc w:val="both"/>
              <w:rPr>
                <w:rFonts w:asciiTheme="minorHAnsi" w:hAnsiTheme="minorHAnsi"/>
              </w:rPr>
            </w:pPr>
            <w:r w:rsidRPr="00D136A6">
              <w:rPr>
                <w:rFonts w:asciiTheme="minorHAnsi" w:hAnsiTheme="minorHAnsi"/>
                <w:b/>
                <w:bCs/>
                <w:sz w:val="24"/>
                <w:szCs w:val="24"/>
              </w:rPr>
              <w:t>Entrepreneurs, affaires familiales</w:t>
            </w:r>
          </w:p>
        </w:tc>
      </w:tr>
      <w:tr w:rsidR="00A3648B" w:rsidRPr="00D136A6">
        <w:tc>
          <w:tcPr>
            <w:tcW w:w="2263" w:type="dxa"/>
            <w:tcBorders>
              <w:top w:val="single" w:sz="4" w:space="0" w:color="000000"/>
              <w:left w:val="single" w:sz="4" w:space="0" w:color="000000"/>
              <w:bottom w:val="single" w:sz="4" w:space="0" w:color="000000"/>
            </w:tcBorders>
            <w:shd w:val="clear" w:color="auto" w:fill="auto"/>
          </w:tcPr>
          <w:p w:rsidR="00A3648B" w:rsidRPr="00D136A6" w:rsidRDefault="00A3648B" w:rsidP="0066667A">
            <w:pPr>
              <w:jc w:val="both"/>
              <w:rPr>
                <w:rFonts w:asciiTheme="minorHAnsi" w:hAnsiTheme="minorHAnsi"/>
                <w:sz w:val="24"/>
                <w:szCs w:val="24"/>
              </w:rPr>
            </w:pPr>
            <w:r w:rsidRPr="00D136A6">
              <w:rPr>
                <w:rFonts w:asciiTheme="minorHAnsi" w:hAnsiTheme="minorHAnsi"/>
                <w:sz w:val="24"/>
                <w:szCs w:val="24"/>
              </w:rPr>
              <w:t>Motivations</w:t>
            </w:r>
          </w:p>
        </w:tc>
        <w:tc>
          <w:tcPr>
            <w:tcW w:w="1874" w:type="dxa"/>
            <w:tcBorders>
              <w:top w:val="single" w:sz="4" w:space="0" w:color="000000"/>
              <w:left w:val="single" w:sz="4" w:space="0" w:color="000000"/>
              <w:bottom w:val="single" w:sz="4" w:space="0" w:color="000000"/>
            </w:tcBorders>
            <w:shd w:val="clear" w:color="auto" w:fill="auto"/>
          </w:tcPr>
          <w:p w:rsidR="00A3648B" w:rsidRPr="00D136A6" w:rsidRDefault="00A3648B" w:rsidP="0066667A">
            <w:pPr>
              <w:rPr>
                <w:rFonts w:asciiTheme="minorHAnsi" w:hAnsiTheme="minorHAnsi"/>
                <w:sz w:val="24"/>
                <w:szCs w:val="24"/>
              </w:rPr>
            </w:pPr>
            <w:r w:rsidRPr="00D136A6">
              <w:rPr>
                <w:rFonts w:asciiTheme="minorHAnsi" w:hAnsiTheme="minorHAnsi"/>
                <w:sz w:val="24"/>
                <w:szCs w:val="24"/>
              </w:rPr>
              <w:t>Recherche d’actifs</w:t>
            </w:r>
          </w:p>
          <w:p w:rsidR="00A3648B" w:rsidRPr="00D136A6" w:rsidRDefault="00A3648B" w:rsidP="0066667A">
            <w:pPr>
              <w:rPr>
                <w:rFonts w:asciiTheme="minorHAnsi" w:hAnsiTheme="minorHAnsi"/>
                <w:sz w:val="24"/>
                <w:szCs w:val="24"/>
              </w:rPr>
            </w:pPr>
            <w:r w:rsidRPr="00D136A6">
              <w:rPr>
                <w:rFonts w:asciiTheme="minorHAnsi" w:hAnsiTheme="minorHAnsi"/>
                <w:sz w:val="24"/>
                <w:szCs w:val="24"/>
              </w:rPr>
              <w:t>(infrastructures/</w:t>
            </w:r>
          </w:p>
          <w:p w:rsidR="00A3648B" w:rsidRPr="00D136A6" w:rsidRDefault="00A3648B" w:rsidP="0066667A">
            <w:pPr>
              <w:rPr>
                <w:rFonts w:asciiTheme="minorHAnsi" w:hAnsiTheme="minorHAnsi"/>
                <w:sz w:val="24"/>
                <w:szCs w:val="24"/>
              </w:rPr>
            </w:pPr>
            <w:r w:rsidRPr="00D136A6">
              <w:rPr>
                <w:rFonts w:asciiTheme="minorHAnsi" w:hAnsiTheme="minorHAnsi"/>
                <w:sz w:val="24"/>
                <w:szCs w:val="24"/>
              </w:rPr>
              <w:t>ressources/</w:t>
            </w:r>
          </w:p>
          <w:p w:rsidR="00A3648B" w:rsidRPr="00D136A6" w:rsidRDefault="00A3648B" w:rsidP="0066667A">
            <w:pPr>
              <w:rPr>
                <w:rFonts w:asciiTheme="minorHAnsi" w:hAnsiTheme="minorHAnsi"/>
                <w:sz w:val="24"/>
                <w:szCs w:val="24"/>
              </w:rPr>
            </w:pPr>
            <w:r w:rsidRPr="00D136A6">
              <w:rPr>
                <w:rFonts w:asciiTheme="minorHAnsi" w:hAnsiTheme="minorHAnsi"/>
                <w:sz w:val="24"/>
                <w:szCs w:val="24"/>
              </w:rPr>
              <w:t>technologies clés</w:t>
            </w:r>
          </w:p>
        </w:tc>
        <w:tc>
          <w:tcPr>
            <w:tcW w:w="2654" w:type="dxa"/>
            <w:tcBorders>
              <w:top w:val="single" w:sz="4" w:space="0" w:color="000000"/>
              <w:left w:val="single" w:sz="4" w:space="0" w:color="000000"/>
              <w:bottom w:val="single" w:sz="4" w:space="0" w:color="000000"/>
            </w:tcBorders>
            <w:shd w:val="clear" w:color="auto" w:fill="auto"/>
          </w:tcPr>
          <w:p w:rsidR="00A3648B" w:rsidRPr="00D136A6" w:rsidRDefault="00A3648B" w:rsidP="0066667A">
            <w:pPr>
              <w:rPr>
                <w:rFonts w:asciiTheme="minorHAnsi" w:hAnsiTheme="minorHAnsi"/>
                <w:sz w:val="24"/>
                <w:szCs w:val="24"/>
              </w:rPr>
            </w:pPr>
            <w:r w:rsidRPr="00D136A6">
              <w:rPr>
                <w:rFonts w:asciiTheme="minorHAnsi" w:hAnsiTheme="minorHAnsi"/>
                <w:sz w:val="24"/>
                <w:szCs w:val="24"/>
              </w:rPr>
              <w:t xml:space="preserve">Recherche de marchés </w:t>
            </w:r>
          </w:p>
          <w:p w:rsidR="00A3648B" w:rsidRPr="00D136A6" w:rsidRDefault="00A3648B" w:rsidP="0066667A">
            <w:pPr>
              <w:rPr>
                <w:rFonts w:asciiTheme="minorHAnsi" w:hAnsiTheme="minorHAnsi"/>
                <w:sz w:val="24"/>
                <w:szCs w:val="24"/>
              </w:rPr>
            </w:pPr>
            <w:r w:rsidRPr="00D136A6">
              <w:rPr>
                <w:rFonts w:asciiTheme="minorHAnsi" w:hAnsiTheme="minorHAnsi"/>
                <w:sz w:val="24"/>
                <w:szCs w:val="24"/>
              </w:rPr>
              <w:t>et d’actifs</w:t>
            </w:r>
          </w:p>
          <w:p w:rsidR="00A3648B" w:rsidRPr="00D136A6" w:rsidRDefault="00A3648B" w:rsidP="0066667A">
            <w:pPr>
              <w:rPr>
                <w:rFonts w:asciiTheme="minorHAnsi" w:hAnsiTheme="minorHAnsi"/>
                <w:sz w:val="24"/>
                <w:szCs w:val="24"/>
              </w:rPr>
            </w:pPr>
            <w:r w:rsidRPr="00D136A6">
              <w:rPr>
                <w:rFonts w:asciiTheme="minorHAnsi" w:hAnsiTheme="minorHAnsi"/>
                <w:sz w:val="24"/>
                <w:szCs w:val="24"/>
              </w:rPr>
              <w:t xml:space="preserve">(secteurs clé de la </w:t>
            </w:r>
          </w:p>
          <w:p w:rsidR="00A3648B" w:rsidRPr="00D136A6" w:rsidRDefault="00A3648B" w:rsidP="0066667A">
            <w:pPr>
              <w:rPr>
                <w:rFonts w:asciiTheme="minorHAnsi" w:hAnsiTheme="minorHAnsi"/>
                <w:sz w:val="24"/>
                <w:szCs w:val="24"/>
              </w:rPr>
            </w:pPr>
            <w:r w:rsidRPr="00D136A6">
              <w:rPr>
                <w:rFonts w:asciiTheme="minorHAnsi" w:hAnsiTheme="minorHAnsi"/>
                <w:sz w:val="24"/>
                <w:szCs w:val="24"/>
              </w:rPr>
              <w:t>distribution /Chaînes d’approvisionnement</w:t>
            </w:r>
          </w:p>
          <w:p w:rsidR="00A3648B" w:rsidRPr="00D136A6" w:rsidRDefault="00A3648B" w:rsidP="0066667A">
            <w:pPr>
              <w:rPr>
                <w:rFonts w:asciiTheme="minorHAnsi" w:hAnsiTheme="minorHAnsi"/>
                <w:sz w:val="24"/>
                <w:szCs w:val="24"/>
              </w:rPr>
            </w:pPr>
            <w:r w:rsidRPr="00D136A6">
              <w:rPr>
                <w:rFonts w:asciiTheme="minorHAnsi" w:hAnsiTheme="minorHAnsi"/>
                <w:sz w:val="24"/>
                <w:szCs w:val="24"/>
              </w:rPr>
              <w:t>/marques</w:t>
            </w:r>
          </w:p>
          <w:p w:rsidR="00A3648B" w:rsidRPr="00D136A6" w:rsidRDefault="00A3648B" w:rsidP="0066667A">
            <w:pPr>
              <w:rPr>
                <w:rFonts w:asciiTheme="minorHAnsi" w:hAnsiTheme="minorHAnsi"/>
                <w:sz w:val="24"/>
                <w:szCs w:val="24"/>
              </w:rPr>
            </w:pPr>
            <w:r w:rsidRPr="00D136A6">
              <w:rPr>
                <w:rFonts w:asciiTheme="minorHAnsi" w:hAnsiTheme="minorHAnsi"/>
                <w:sz w:val="24"/>
                <w:szCs w:val="24"/>
              </w:rPr>
              <w:t>/technologies)</w:t>
            </w:r>
          </w:p>
        </w:tc>
        <w:tc>
          <w:tcPr>
            <w:tcW w:w="2344" w:type="dxa"/>
            <w:tcBorders>
              <w:top w:val="single" w:sz="4" w:space="0" w:color="000000"/>
              <w:left w:val="single" w:sz="4" w:space="0" w:color="000000"/>
              <w:bottom w:val="single" w:sz="4" w:space="0" w:color="000000"/>
              <w:right w:val="single" w:sz="4" w:space="0" w:color="000000"/>
            </w:tcBorders>
            <w:shd w:val="clear" w:color="auto" w:fill="auto"/>
          </w:tcPr>
          <w:p w:rsidR="00A3648B" w:rsidRPr="00D136A6" w:rsidRDefault="00A3648B" w:rsidP="0066667A">
            <w:pPr>
              <w:rPr>
                <w:rFonts w:asciiTheme="minorHAnsi" w:hAnsiTheme="minorHAnsi"/>
              </w:rPr>
            </w:pPr>
            <w:r w:rsidRPr="00D136A6">
              <w:rPr>
                <w:rFonts w:asciiTheme="minorHAnsi" w:hAnsiTheme="minorHAnsi"/>
                <w:sz w:val="24"/>
                <w:szCs w:val="24"/>
              </w:rPr>
              <w:t>Opportunités d’affaires (combinée avec émigration)</w:t>
            </w:r>
          </w:p>
        </w:tc>
      </w:tr>
      <w:tr w:rsidR="00A3648B" w:rsidRPr="00D136A6">
        <w:tc>
          <w:tcPr>
            <w:tcW w:w="2263" w:type="dxa"/>
            <w:tcBorders>
              <w:top w:val="single" w:sz="4" w:space="0" w:color="000000"/>
              <w:left w:val="single" w:sz="4" w:space="0" w:color="000000"/>
              <w:bottom w:val="single" w:sz="4" w:space="0" w:color="000000"/>
            </w:tcBorders>
            <w:shd w:val="clear" w:color="auto" w:fill="auto"/>
          </w:tcPr>
          <w:p w:rsidR="00A3648B" w:rsidRPr="00D136A6" w:rsidRDefault="00A3648B" w:rsidP="0066667A">
            <w:pPr>
              <w:spacing w:line="360" w:lineRule="auto"/>
              <w:rPr>
                <w:rFonts w:asciiTheme="minorHAnsi" w:hAnsiTheme="minorHAnsi"/>
                <w:sz w:val="24"/>
                <w:szCs w:val="24"/>
              </w:rPr>
            </w:pPr>
            <w:r w:rsidRPr="00D136A6">
              <w:rPr>
                <w:rFonts w:asciiTheme="minorHAnsi" w:hAnsiTheme="minorHAnsi"/>
                <w:sz w:val="24"/>
                <w:szCs w:val="24"/>
              </w:rPr>
              <w:t>Localisation</w:t>
            </w:r>
          </w:p>
        </w:tc>
        <w:tc>
          <w:tcPr>
            <w:tcW w:w="1874" w:type="dxa"/>
            <w:tcBorders>
              <w:top w:val="single" w:sz="4" w:space="0" w:color="000000"/>
              <w:left w:val="single" w:sz="4" w:space="0" w:color="000000"/>
              <w:bottom w:val="single" w:sz="4" w:space="0" w:color="000000"/>
            </w:tcBorders>
            <w:shd w:val="clear" w:color="auto" w:fill="auto"/>
          </w:tcPr>
          <w:p w:rsidR="00A3648B" w:rsidRPr="00D136A6" w:rsidRDefault="00A3648B" w:rsidP="0066667A">
            <w:pPr>
              <w:rPr>
                <w:rFonts w:asciiTheme="minorHAnsi" w:hAnsiTheme="minorHAnsi"/>
                <w:sz w:val="24"/>
                <w:szCs w:val="24"/>
              </w:rPr>
            </w:pPr>
            <w:r w:rsidRPr="00D136A6">
              <w:rPr>
                <w:rFonts w:asciiTheme="minorHAnsi" w:hAnsiTheme="minorHAnsi"/>
                <w:sz w:val="24"/>
                <w:szCs w:val="24"/>
              </w:rPr>
              <w:t>Pays européens clés (Allemagne, UK, France...)</w:t>
            </w:r>
          </w:p>
        </w:tc>
        <w:tc>
          <w:tcPr>
            <w:tcW w:w="2654" w:type="dxa"/>
            <w:tcBorders>
              <w:top w:val="single" w:sz="4" w:space="0" w:color="000000"/>
              <w:left w:val="single" w:sz="4" w:space="0" w:color="000000"/>
              <w:bottom w:val="single" w:sz="4" w:space="0" w:color="000000"/>
            </w:tcBorders>
            <w:shd w:val="clear" w:color="auto" w:fill="auto"/>
          </w:tcPr>
          <w:p w:rsidR="00A3648B" w:rsidRPr="00D136A6" w:rsidRDefault="00A3648B" w:rsidP="0066667A">
            <w:pPr>
              <w:rPr>
                <w:rFonts w:asciiTheme="minorHAnsi" w:hAnsiTheme="minorHAnsi"/>
                <w:sz w:val="24"/>
                <w:szCs w:val="24"/>
              </w:rPr>
            </w:pPr>
            <w:r w:rsidRPr="00D136A6">
              <w:rPr>
                <w:rFonts w:asciiTheme="minorHAnsi" w:hAnsiTheme="minorHAnsi"/>
                <w:sz w:val="24"/>
                <w:szCs w:val="24"/>
              </w:rPr>
              <w:t>UE-15, PECO</w:t>
            </w:r>
          </w:p>
        </w:tc>
        <w:tc>
          <w:tcPr>
            <w:tcW w:w="2344" w:type="dxa"/>
            <w:tcBorders>
              <w:top w:val="single" w:sz="4" w:space="0" w:color="000000"/>
              <w:left w:val="single" w:sz="4" w:space="0" w:color="000000"/>
              <w:bottom w:val="single" w:sz="4" w:space="0" w:color="000000"/>
              <w:right w:val="single" w:sz="4" w:space="0" w:color="000000"/>
            </w:tcBorders>
            <w:shd w:val="clear" w:color="auto" w:fill="auto"/>
          </w:tcPr>
          <w:p w:rsidR="00A3648B" w:rsidRPr="00D136A6" w:rsidRDefault="00A3648B" w:rsidP="0066667A">
            <w:pPr>
              <w:rPr>
                <w:rFonts w:asciiTheme="minorHAnsi" w:hAnsiTheme="minorHAnsi"/>
              </w:rPr>
            </w:pPr>
            <w:r w:rsidRPr="00D136A6">
              <w:rPr>
                <w:rFonts w:asciiTheme="minorHAnsi" w:hAnsiTheme="minorHAnsi"/>
                <w:sz w:val="24"/>
                <w:szCs w:val="24"/>
              </w:rPr>
              <w:t>PECO et Europe du Sud (Balkans)</w:t>
            </w:r>
          </w:p>
        </w:tc>
      </w:tr>
      <w:tr w:rsidR="00A3648B" w:rsidRPr="00D136A6">
        <w:tc>
          <w:tcPr>
            <w:tcW w:w="2263" w:type="dxa"/>
            <w:tcBorders>
              <w:top w:val="single" w:sz="4" w:space="0" w:color="000000"/>
              <w:left w:val="single" w:sz="4" w:space="0" w:color="000000"/>
              <w:bottom w:val="single" w:sz="4" w:space="0" w:color="000000"/>
            </w:tcBorders>
            <w:shd w:val="clear" w:color="auto" w:fill="auto"/>
          </w:tcPr>
          <w:p w:rsidR="00A3648B" w:rsidRPr="00D136A6" w:rsidRDefault="00A3648B" w:rsidP="0066667A">
            <w:pPr>
              <w:spacing w:line="360" w:lineRule="auto"/>
              <w:rPr>
                <w:rFonts w:asciiTheme="minorHAnsi" w:hAnsiTheme="minorHAnsi"/>
                <w:sz w:val="24"/>
                <w:szCs w:val="24"/>
              </w:rPr>
            </w:pPr>
            <w:r w:rsidRPr="00D136A6">
              <w:rPr>
                <w:rFonts w:asciiTheme="minorHAnsi" w:hAnsiTheme="minorHAnsi"/>
                <w:sz w:val="24"/>
                <w:szCs w:val="24"/>
              </w:rPr>
              <w:t>Formes d’entrée</w:t>
            </w:r>
          </w:p>
        </w:tc>
        <w:tc>
          <w:tcPr>
            <w:tcW w:w="1874" w:type="dxa"/>
            <w:tcBorders>
              <w:top w:val="single" w:sz="4" w:space="0" w:color="000000"/>
              <w:left w:val="single" w:sz="4" w:space="0" w:color="000000"/>
              <w:bottom w:val="single" w:sz="4" w:space="0" w:color="000000"/>
            </w:tcBorders>
            <w:shd w:val="clear" w:color="auto" w:fill="auto"/>
          </w:tcPr>
          <w:p w:rsidR="00A3648B" w:rsidRPr="00D136A6" w:rsidRDefault="00A3648B" w:rsidP="0066667A">
            <w:pPr>
              <w:rPr>
                <w:rFonts w:asciiTheme="minorHAnsi" w:hAnsiTheme="minorHAnsi"/>
                <w:sz w:val="24"/>
                <w:szCs w:val="24"/>
              </w:rPr>
            </w:pPr>
            <w:r w:rsidRPr="00D136A6">
              <w:rPr>
                <w:rFonts w:asciiTheme="minorHAnsi" w:hAnsiTheme="minorHAnsi"/>
                <w:sz w:val="24"/>
                <w:szCs w:val="24"/>
              </w:rPr>
              <w:t>Fusions et Acquisitions</w:t>
            </w:r>
          </w:p>
        </w:tc>
        <w:tc>
          <w:tcPr>
            <w:tcW w:w="2654" w:type="dxa"/>
            <w:tcBorders>
              <w:top w:val="single" w:sz="4" w:space="0" w:color="000000"/>
              <w:left w:val="single" w:sz="4" w:space="0" w:color="000000"/>
              <w:bottom w:val="single" w:sz="4" w:space="0" w:color="000000"/>
            </w:tcBorders>
            <w:shd w:val="clear" w:color="auto" w:fill="auto"/>
          </w:tcPr>
          <w:p w:rsidR="00A3648B" w:rsidRPr="00D136A6" w:rsidRDefault="00A3648B" w:rsidP="0066667A">
            <w:pPr>
              <w:rPr>
                <w:rFonts w:asciiTheme="minorHAnsi" w:hAnsiTheme="minorHAnsi"/>
                <w:sz w:val="24"/>
                <w:szCs w:val="24"/>
              </w:rPr>
            </w:pPr>
            <w:r w:rsidRPr="00D136A6">
              <w:rPr>
                <w:rFonts w:asciiTheme="minorHAnsi" w:hAnsiTheme="minorHAnsi"/>
                <w:sz w:val="24"/>
                <w:szCs w:val="24"/>
              </w:rPr>
              <w:t>Fusions et Acquisitions</w:t>
            </w:r>
          </w:p>
        </w:tc>
        <w:tc>
          <w:tcPr>
            <w:tcW w:w="2344" w:type="dxa"/>
            <w:tcBorders>
              <w:top w:val="single" w:sz="4" w:space="0" w:color="000000"/>
              <w:left w:val="single" w:sz="4" w:space="0" w:color="000000"/>
              <w:bottom w:val="single" w:sz="4" w:space="0" w:color="000000"/>
              <w:right w:val="single" w:sz="4" w:space="0" w:color="000000"/>
            </w:tcBorders>
            <w:shd w:val="clear" w:color="auto" w:fill="auto"/>
          </w:tcPr>
          <w:p w:rsidR="00A3648B" w:rsidRPr="00D136A6" w:rsidRDefault="00A3648B" w:rsidP="0066667A">
            <w:pPr>
              <w:rPr>
                <w:rFonts w:asciiTheme="minorHAnsi" w:hAnsiTheme="minorHAnsi"/>
              </w:rPr>
            </w:pPr>
            <w:r w:rsidRPr="00D136A6">
              <w:rPr>
                <w:rFonts w:asciiTheme="minorHAnsi" w:hAnsiTheme="minorHAnsi"/>
                <w:sz w:val="24"/>
                <w:szCs w:val="24"/>
              </w:rPr>
              <w:t>Investissements vierges</w:t>
            </w:r>
          </w:p>
        </w:tc>
      </w:tr>
      <w:tr w:rsidR="00A3648B" w:rsidRPr="00D136A6">
        <w:trPr>
          <w:trHeight w:val="208"/>
        </w:trPr>
        <w:tc>
          <w:tcPr>
            <w:tcW w:w="2263" w:type="dxa"/>
            <w:tcBorders>
              <w:top w:val="single" w:sz="4" w:space="0" w:color="000000"/>
              <w:left w:val="single" w:sz="4" w:space="0" w:color="000000"/>
              <w:bottom w:val="single" w:sz="4" w:space="0" w:color="000000"/>
            </w:tcBorders>
            <w:shd w:val="clear" w:color="auto" w:fill="auto"/>
          </w:tcPr>
          <w:p w:rsidR="00A3648B" w:rsidRPr="00D136A6" w:rsidRDefault="00A3648B" w:rsidP="0066667A">
            <w:pPr>
              <w:spacing w:line="360" w:lineRule="auto"/>
              <w:rPr>
                <w:rFonts w:asciiTheme="minorHAnsi" w:hAnsiTheme="minorHAnsi"/>
                <w:sz w:val="24"/>
                <w:szCs w:val="24"/>
              </w:rPr>
            </w:pPr>
            <w:r w:rsidRPr="00D136A6">
              <w:rPr>
                <w:rFonts w:asciiTheme="minorHAnsi" w:hAnsiTheme="minorHAnsi"/>
                <w:sz w:val="24"/>
                <w:szCs w:val="24"/>
              </w:rPr>
              <w:t>Partenariat</w:t>
            </w:r>
          </w:p>
        </w:tc>
        <w:tc>
          <w:tcPr>
            <w:tcW w:w="1874" w:type="dxa"/>
            <w:tcBorders>
              <w:top w:val="single" w:sz="4" w:space="0" w:color="000000"/>
              <w:left w:val="single" w:sz="4" w:space="0" w:color="000000"/>
              <w:bottom w:val="single" w:sz="4" w:space="0" w:color="000000"/>
            </w:tcBorders>
            <w:shd w:val="clear" w:color="auto" w:fill="auto"/>
          </w:tcPr>
          <w:p w:rsidR="00A3648B" w:rsidRPr="00D136A6" w:rsidRDefault="00A3648B" w:rsidP="0066667A">
            <w:pPr>
              <w:rPr>
                <w:rFonts w:asciiTheme="minorHAnsi" w:hAnsiTheme="minorHAnsi"/>
                <w:sz w:val="24"/>
                <w:szCs w:val="24"/>
              </w:rPr>
            </w:pPr>
            <w:r w:rsidRPr="00D136A6">
              <w:rPr>
                <w:rFonts w:asciiTheme="minorHAnsi" w:hAnsiTheme="minorHAnsi"/>
                <w:sz w:val="24"/>
                <w:szCs w:val="24"/>
              </w:rPr>
              <w:t>Firmes multinationales globales et grandes firmes européennes</w:t>
            </w:r>
          </w:p>
        </w:tc>
        <w:tc>
          <w:tcPr>
            <w:tcW w:w="2654" w:type="dxa"/>
            <w:tcBorders>
              <w:top w:val="single" w:sz="4" w:space="0" w:color="000000"/>
              <w:left w:val="single" w:sz="4" w:space="0" w:color="000000"/>
              <w:bottom w:val="single" w:sz="4" w:space="0" w:color="000000"/>
            </w:tcBorders>
            <w:shd w:val="clear" w:color="auto" w:fill="auto"/>
          </w:tcPr>
          <w:p w:rsidR="00A3648B" w:rsidRPr="00D136A6" w:rsidRDefault="00A3648B" w:rsidP="0066667A">
            <w:pPr>
              <w:rPr>
                <w:rFonts w:asciiTheme="minorHAnsi" w:hAnsiTheme="minorHAnsi"/>
                <w:sz w:val="24"/>
                <w:szCs w:val="24"/>
              </w:rPr>
            </w:pPr>
            <w:r w:rsidRPr="00D136A6">
              <w:rPr>
                <w:rFonts w:asciiTheme="minorHAnsi" w:hAnsiTheme="minorHAnsi"/>
                <w:sz w:val="24"/>
                <w:szCs w:val="24"/>
              </w:rPr>
              <w:t>PME européennes</w:t>
            </w:r>
          </w:p>
        </w:tc>
        <w:tc>
          <w:tcPr>
            <w:tcW w:w="2344" w:type="dxa"/>
            <w:tcBorders>
              <w:top w:val="single" w:sz="4" w:space="0" w:color="000000"/>
              <w:left w:val="single" w:sz="4" w:space="0" w:color="000000"/>
              <w:bottom w:val="single" w:sz="4" w:space="0" w:color="000000"/>
              <w:right w:val="single" w:sz="4" w:space="0" w:color="000000"/>
            </w:tcBorders>
            <w:shd w:val="clear" w:color="auto" w:fill="auto"/>
          </w:tcPr>
          <w:p w:rsidR="00A3648B" w:rsidRPr="00D136A6" w:rsidRDefault="00A3648B" w:rsidP="0066667A">
            <w:pPr>
              <w:rPr>
                <w:rFonts w:asciiTheme="minorHAnsi" w:hAnsiTheme="minorHAnsi"/>
              </w:rPr>
            </w:pPr>
            <w:r w:rsidRPr="00D136A6">
              <w:rPr>
                <w:rFonts w:asciiTheme="minorHAnsi" w:hAnsiTheme="minorHAnsi"/>
                <w:sz w:val="24"/>
                <w:szCs w:val="24"/>
              </w:rPr>
              <w:t>PME chinoises, chinois ethniques</w:t>
            </w:r>
          </w:p>
        </w:tc>
      </w:tr>
    </w:tbl>
    <w:p w:rsidR="00A3648B" w:rsidRPr="00D136A6" w:rsidRDefault="00A3648B" w:rsidP="00A3648B">
      <w:pPr>
        <w:spacing w:line="360" w:lineRule="auto"/>
        <w:jc w:val="both"/>
        <w:rPr>
          <w:rFonts w:asciiTheme="minorHAnsi" w:hAnsiTheme="minorHAnsi"/>
          <w:sz w:val="24"/>
          <w:szCs w:val="24"/>
        </w:rPr>
      </w:pPr>
      <w:r w:rsidRPr="00D136A6">
        <w:rPr>
          <w:rFonts w:asciiTheme="minorHAnsi" w:hAnsiTheme="minorHAnsi"/>
          <w:i/>
          <w:iCs/>
          <w:sz w:val="24"/>
          <w:szCs w:val="24"/>
        </w:rPr>
        <w:t>Source : EU SME (2015</w:t>
      </w:r>
      <w:r w:rsidRPr="00D136A6">
        <w:rPr>
          <w:rStyle w:val="Appelnotedebasdep1"/>
          <w:rFonts w:asciiTheme="minorHAnsi" w:hAnsiTheme="minorHAnsi"/>
          <w:i/>
          <w:iCs/>
          <w:sz w:val="24"/>
          <w:szCs w:val="24"/>
        </w:rPr>
        <w:footnoteReference w:id="23"/>
      </w:r>
      <w:r w:rsidRPr="00D136A6">
        <w:rPr>
          <w:rFonts w:asciiTheme="minorHAnsi" w:hAnsiTheme="minorHAnsi"/>
          <w:i/>
          <w:iCs/>
          <w:sz w:val="24"/>
          <w:szCs w:val="24"/>
        </w:rPr>
        <w:t>)</w:t>
      </w:r>
    </w:p>
    <w:p w:rsidR="00D136A6" w:rsidRPr="00D136A6" w:rsidRDefault="00D136A6" w:rsidP="00D136A6">
      <w:pPr>
        <w:spacing w:line="360" w:lineRule="auto"/>
        <w:jc w:val="both"/>
        <w:rPr>
          <w:rFonts w:asciiTheme="minorHAnsi" w:hAnsiTheme="minorHAnsi"/>
          <w:sz w:val="24"/>
          <w:szCs w:val="24"/>
        </w:rPr>
      </w:pPr>
    </w:p>
    <w:p w:rsidR="00D136A6" w:rsidRPr="00D136A6" w:rsidRDefault="00D136A6" w:rsidP="00D136A6">
      <w:pPr>
        <w:spacing w:line="360" w:lineRule="auto"/>
        <w:jc w:val="both"/>
        <w:rPr>
          <w:rFonts w:asciiTheme="minorHAnsi" w:hAnsiTheme="minorHAnsi"/>
          <w:sz w:val="24"/>
          <w:szCs w:val="24"/>
        </w:rPr>
      </w:pPr>
      <w:r w:rsidRPr="00D136A6">
        <w:rPr>
          <w:rFonts w:asciiTheme="minorHAnsi" w:hAnsiTheme="minorHAnsi"/>
          <w:i/>
          <w:sz w:val="24"/>
          <w:szCs w:val="24"/>
        </w:rPr>
        <w:tab/>
        <w:t>Des investisseurs de différents types</w:t>
      </w:r>
    </w:p>
    <w:p w:rsidR="00D136A6" w:rsidRPr="00D136A6" w:rsidRDefault="00D136A6" w:rsidP="00D136A6">
      <w:pPr>
        <w:spacing w:line="360" w:lineRule="auto"/>
        <w:jc w:val="both"/>
        <w:rPr>
          <w:rFonts w:asciiTheme="minorHAnsi" w:hAnsiTheme="minorHAnsi"/>
          <w:sz w:val="24"/>
          <w:szCs w:val="24"/>
        </w:rPr>
      </w:pPr>
      <w:r w:rsidRPr="00D136A6">
        <w:rPr>
          <w:rFonts w:asciiTheme="minorHAnsi" w:hAnsiTheme="minorHAnsi"/>
          <w:sz w:val="24"/>
          <w:szCs w:val="24"/>
        </w:rPr>
        <w:tab/>
        <w:t>Qui sont les investisseurs chinois ? Initialement, on trou</w:t>
      </w:r>
      <w:r w:rsidR="00A3648B">
        <w:rPr>
          <w:rFonts w:asciiTheme="minorHAnsi" w:hAnsiTheme="minorHAnsi"/>
          <w:sz w:val="24"/>
          <w:szCs w:val="24"/>
        </w:rPr>
        <w:t xml:space="preserve">vait presque exclusivement des </w:t>
      </w:r>
      <w:r w:rsidRPr="00D136A6">
        <w:rPr>
          <w:rFonts w:asciiTheme="minorHAnsi" w:hAnsiTheme="minorHAnsi"/>
          <w:sz w:val="24"/>
          <w:szCs w:val="24"/>
        </w:rPr>
        <w:t>grandes firmes d’Etat. Il faut distinguer ici plusieurs types d’entreprises quant à leurs formes de contrôle, d’organisation qui donnent une configuration particulière au système industriel chinois</w:t>
      </w:r>
      <w:r w:rsidRPr="00D136A6">
        <w:rPr>
          <w:rStyle w:val="Appelnotedebasdep1"/>
          <w:rFonts w:asciiTheme="minorHAnsi" w:hAnsiTheme="minorHAnsi"/>
          <w:sz w:val="24"/>
          <w:szCs w:val="24"/>
        </w:rPr>
        <w:footnoteReference w:id="24"/>
      </w:r>
      <w:r w:rsidRPr="00D136A6">
        <w:rPr>
          <w:rFonts w:asciiTheme="minorHAnsi" w:hAnsiTheme="minorHAnsi"/>
          <w:sz w:val="24"/>
          <w:szCs w:val="24"/>
        </w:rPr>
        <w:t> , et influent sur les motivations à investir à l’étranger. On y trouve en effet les entreprises d’Etat, soutenues par l’Etat tant en ce qui concerne l’accès au capital, aux innovations, l’aide qui leur est allouée</w:t>
      </w:r>
      <w:r w:rsidRPr="00D136A6">
        <w:rPr>
          <w:rStyle w:val="Appelnotedebasdep1"/>
          <w:rFonts w:asciiTheme="minorHAnsi" w:hAnsiTheme="minorHAnsi"/>
          <w:sz w:val="24"/>
          <w:szCs w:val="24"/>
        </w:rPr>
        <w:footnoteReference w:id="25"/>
      </w:r>
      <w:r w:rsidRPr="00D136A6">
        <w:rPr>
          <w:rFonts w:asciiTheme="minorHAnsi" w:hAnsiTheme="minorHAnsi"/>
          <w:sz w:val="24"/>
          <w:szCs w:val="24"/>
        </w:rPr>
        <w:t xml:space="preserve"> lorsqu’elles partent à l’assaut des marchés étrangers, à la recherche de ressources primaires, de technologies, de marchés. Elles jouissent d’un avantage certain en dépit de leurs faibles performances en comparaison avec les firmes privées chinoises. D’un autre côté, on trouve les firmes non-étatiques de différentes tailles, de formes juridiques (firmes privées cotées en bourse, PME, firmes familiales). Parmi les firmes non-étatiques, de statut privé, on trouve des firmes de la sous-traitance, de type OEM</w:t>
      </w:r>
      <w:r w:rsidRPr="00D136A6">
        <w:rPr>
          <w:rStyle w:val="Appelnotedebasdep1"/>
          <w:rFonts w:asciiTheme="minorHAnsi" w:hAnsiTheme="minorHAnsi"/>
          <w:sz w:val="24"/>
          <w:szCs w:val="24"/>
        </w:rPr>
        <w:footnoteReference w:id="26"/>
      </w:r>
      <w:r w:rsidRPr="00D136A6">
        <w:rPr>
          <w:rFonts w:asciiTheme="minorHAnsi" w:hAnsiTheme="minorHAnsi"/>
          <w:sz w:val="24"/>
          <w:szCs w:val="24"/>
        </w:rPr>
        <w:t xml:space="preserve"> réalisant des produits sur commande.  </w:t>
      </w:r>
    </w:p>
    <w:p w:rsidR="00D136A6" w:rsidRPr="00D136A6" w:rsidRDefault="00D136A6" w:rsidP="00D136A6">
      <w:pPr>
        <w:spacing w:line="360" w:lineRule="auto"/>
        <w:jc w:val="both"/>
        <w:rPr>
          <w:rFonts w:asciiTheme="minorHAnsi" w:hAnsiTheme="minorHAnsi"/>
          <w:sz w:val="24"/>
          <w:szCs w:val="24"/>
        </w:rPr>
      </w:pPr>
    </w:p>
    <w:p w:rsidR="00D136A6" w:rsidRPr="00D136A6" w:rsidRDefault="00D136A6" w:rsidP="00D136A6">
      <w:pPr>
        <w:spacing w:line="360" w:lineRule="auto"/>
        <w:jc w:val="both"/>
        <w:rPr>
          <w:rFonts w:asciiTheme="minorHAnsi" w:hAnsiTheme="minorHAnsi"/>
          <w:sz w:val="24"/>
          <w:szCs w:val="24"/>
        </w:rPr>
      </w:pPr>
      <w:r w:rsidRPr="00D136A6">
        <w:rPr>
          <w:rFonts w:asciiTheme="minorHAnsi" w:hAnsiTheme="minorHAnsi"/>
          <w:sz w:val="24"/>
          <w:szCs w:val="24"/>
        </w:rPr>
        <w:t>Ces dernières n’ont pas accès à l’innovation publique, souvent difficilement et très peu à celles des donneurs d’ordres. Le passage à un statut d’ODM les poussent à remonter la chaîne de valeur et à acquérir les technologies nécessaires. L’internationalisation de ces firmes, en direction des économies de marché développées est ainsi le moyen d’accéder à ces connaissances et techniques qui leur font défaut (figure 2). La plupart de ces firmes sont confrontées à de nombreux problèmes pour créer de véritables firmes multinationales (Encadré 2) même si elles font preuves de facilités pour s’adapter, assimiler de nouvelles pratiques</w:t>
      </w:r>
      <w:r w:rsidRPr="00D136A6">
        <w:rPr>
          <w:rStyle w:val="Appelnotedebasdep1"/>
          <w:rFonts w:asciiTheme="minorHAnsi" w:hAnsiTheme="minorHAnsi"/>
          <w:sz w:val="24"/>
          <w:szCs w:val="24"/>
        </w:rPr>
        <w:footnoteReference w:id="27"/>
      </w:r>
      <w:r w:rsidRPr="00D136A6">
        <w:rPr>
          <w:rFonts w:asciiTheme="minorHAnsi" w:hAnsiTheme="minorHAnsi"/>
          <w:sz w:val="24"/>
          <w:szCs w:val="24"/>
        </w:rPr>
        <w:t>.</w:t>
      </w:r>
    </w:p>
    <w:p w:rsidR="00D136A6" w:rsidRPr="00D136A6" w:rsidRDefault="00D136A6" w:rsidP="00D136A6">
      <w:pPr>
        <w:spacing w:line="360" w:lineRule="auto"/>
        <w:jc w:val="both"/>
        <w:rPr>
          <w:rFonts w:asciiTheme="minorHAnsi" w:hAnsiTheme="minorHAnsi"/>
          <w:sz w:val="24"/>
          <w:szCs w:val="24"/>
        </w:rPr>
      </w:pPr>
    </w:p>
    <w:p w:rsidR="00D136A6" w:rsidRPr="00D136A6" w:rsidRDefault="00D136A6" w:rsidP="00D136A6">
      <w:pPr>
        <w:spacing w:line="360" w:lineRule="auto"/>
        <w:jc w:val="center"/>
        <w:rPr>
          <w:rFonts w:asciiTheme="minorHAnsi" w:hAnsiTheme="minorHAnsi"/>
          <w:i/>
          <w:sz w:val="24"/>
          <w:szCs w:val="24"/>
        </w:rPr>
      </w:pPr>
      <w:r w:rsidRPr="00D136A6">
        <w:rPr>
          <w:rFonts w:asciiTheme="minorHAnsi" w:hAnsiTheme="minorHAnsi"/>
          <w:b/>
          <w:sz w:val="24"/>
          <w:szCs w:val="24"/>
        </w:rPr>
        <w:t>Encadré 2 : Une internationalisation limitée ?</w:t>
      </w:r>
    </w:p>
    <w:p w:rsidR="00D136A6" w:rsidRPr="00D136A6" w:rsidRDefault="00D136A6" w:rsidP="00D136A6">
      <w:pPr>
        <w:spacing w:line="360" w:lineRule="auto"/>
        <w:jc w:val="both"/>
        <w:rPr>
          <w:rFonts w:asciiTheme="minorHAnsi" w:hAnsiTheme="minorHAnsi"/>
          <w:i/>
          <w:sz w:val="24"/>
          <w:szCs w:val="24"/>
        </w:rPr>
      </w:pPr>
    </w:p>
    <w:tbl>
      <w:tblPr>
        <w:tblW w:w="0" w:type="auto"/>
        <w:tblInd w:w="-40" w:type="dxa"/>
        <w:tblLayout w:type="fixed"/>
        <w:tblLook w:val="0000"/>
      </w:tblPr>
      <w:tblGrid>
        <w:gridCol w:w="9136"/>
      </w:tblGrid>
      <w:tr w:rsidR="00D136A6" w:rsidRPr="00D136A6">
        <w:tc>
          <w:tcPr>
            <w:tcW w:w="9136" w:type="dxa"/>
            <w:tcBorders>
              <w:top w:val="single" w:sz="4" w:space="0" w:color="000000"/>
              <w:left w:val="single" w:sz="4" w:space="0" w:color="000000"/>
              <w:bottom w:val="single" w:sz="4" w:space="0" w:color="000000"/>
              <w:right w:val="single" w:sz="4" w:space="0" w:color="000000"/>
            </w:tcBorders>
            <w:shd w:val="clear" w:color="auto" w:fill="auto"/>
          </w:tcPr>
          <w:p w:rsidR="00D136A6" w:rsidRPr="00D136A6" w:rsidRDefault="00D136A6" w:rsidP="0066667A">
            <w:pPr>
              <w:rPr>
                <w:rFonts w:asciiTheme="minorHAnsi" w:hAnsiTheme="minorHAnsi"/>
                <w:sz w:val="24"/>
                <w:szCs w:val="24"/>
              </w:rPr>
            </w:pPr>
            <w:r w:rsidRPr="00D136A6">
              <w:rPr>
                <w:rFonts w:asciiTheme="minorHAnsi" w:hAnsiTheme="minorHAnsi"/>
                <w:i/>
                <w:sz w:val="24"/>
                <w:szCs w:val="24"/>
              </w:rPr>
              <w:t xml:space="preserve">IDE chinois vers le Nord: </w:t>
            </w:r>
          </w:p>
          <w:p w:rsidR="00D136A6" w:rsidRPr="00D136A6" w:rsidRDefault="00D136A6" w:rsidP="0066667A">
            <w:pPr>
              <w:rPr>
                <w:rFonts w:asciiTheme="minorHAnsi" w:hAnsiTheme="minorHAnsi"/>
                <w:sz w:val="24"/>
                <w:szCs w:val="24"/>
              </w:rPr>
            </w:pPr>
            <w:r w:rsidRPr="00D136A6">
              <w:rPr>
                <w:rFonts w:asciiTheme="minorHAnsi" w:hAnsiTheme="minorHAnsi"/>
                <w:sz w:val="24"/>
                <w:szCs w:val="24"/>
              </w:rPr>
              <w:t>Recherche d’actifs stratégiques, achat de marques, parts de marché pour produits à hautes et moyennes valeur technologique</w:t>
            </w:r>
          </w:p>
          <w:p w:rsidR="00D136A6" w:rsidRPr="00D136A6" w:rsidRDefault="00D136A6" w:rsidP="0066667A">
            <w:pPr>
              <w:rPr>
                <w:rFonts w:asciiTheme="minorHAnsi" w:hAnsiTheme="minorHAnsi"/>
                <w:sz w:val="24"/>
                <w:szCs w:val="24"/>
              </w:rPr>
            </w:pPr>
            <w:r w:rsidRPr="00D136A6">
              <w:rPr>
                <w:rFonts w:asciiTheme="minorHAnsi" w:hAnsiTheme="minorHAnsi"/>
                <w:sz w:val="24"/>
                <w:szCs w:val="24"/>
              </w:rPr>
              <w:t>Construction de chaînes de valeur chinoises encore faibles, voire inexistantes</w:t>
            </w:r>
          </w:p>
          <w:p w:rsidR="00D136A6" w:rsidRPr="00D136A6" w:rsidRDefault="00D136A6" w:rsidP="0066667A">
            <w:pPr>
              <w:rPr>
                <w:rFonts w:asciiTheme="minorHAnsi" w:hAnsiTheme="minorHAnsi"/>
                <w:sz w:val="24"/>
                <w:szCs w:val="24"/>
              </w:rPr>
            </w:pPr>
            <w:r w:rsidRPr="00D136A6">
              <w:rPr>
                <w:rFonts w:asciiTheme="minorHAnsi" w:hAnsiTheme="minorHAnsi"/>
                <w:sz w:val="24"/>
                <w:szCs w:val="24"/>
              </w:rPr>
              <w:t>Insertion en amont dans les chaînes de valeur internationales/régionales  (cf. IDE chinois en Allemagne)</w:t>
            </w:r>
          </w:p>
          <w:p w:rsidR="00D136A6" w:rsidRPr="00D136A6" w:rsidRDefault="00D136A6" w:rsidP="0066667A">
            <w:pPr>
              <w:rPr>
                <w:rFonts w:asciiTheme="minorHAnsi" w:hAnsiTheme="minorHAnsi"/>
                <w:i/>
                <w:sz w:val="24"/>
                <w:szCs w:val="24"/>
              </w:rPr>
            </w:pPr>
            <w:r w:rsidRPr="00D136A6">
              <w:rPr>
                <w:rFonts w:asciiTheme="minorHAnsi" w:hAnsiTheme="minorHAnsi"/>
                <w:sz w:val="24"/>
                <w:szCs w:val="24"/>
              </w:rPr>
              <w:t>Acquisition d’entreprises en faillite (IBM, Volvo, PSA, Club Med), rapprochement avec entreprises en difficulté (EDF, AREVA)</w:t>
            </w:r>
          </w:p>
          <w:p w:rsidR="00D136A6" w:rsidRPr="00D136A6" w:rsidRDefault="00D136A6" w:rsidP="0066667A">
            <w:pPr>
              <w:rPr>
                <w:rFonts w:asciiTheme="minorHAnsi" w:hAnsiTheme="minorHAnsi"/>
                <w:sz w:val="24"/>
                <w:szCs w:val="24"/>
              </w:rPr>
            </w:pPr>
            <w:r w:rsidRPr="00D136A6">
              <w:rPr>
                <w:rFonts w:asciiTheme="minorHAnsi" w:hAnsiTheme="minorHAnsi"/>
                <w:i/>
                <w:sz w:val="24"/>
                <w:szCs w:val="24"/>
              </w:rPr>
              <w:t>Multinationalisation:</w:t>
            </w:r>
          </w:p>
          <w:p w:rsidR="00D136A6" w:rsidRPr="00D136A6" w:rsidRDefault="00D136A6" w:rsidP="0066667A">
            <w:pPr>
              <w:rPr>
                <w:rFonts w:asciiTheme="minorHAnsi" w:hAnsiTheme="minorHAnsi"/>
                <w:sz w:val="24"/>
                <w:szCs w:val="24"/>
              </w:rPr>
            </w:pPr>
            <w:r w:rsidRPr="00D136A6">
              <w:rPr>
                <w:rFonts w:asciiTheme="minorHAnsi" w:hAnsiTheme="minorHAnsi"/>
                <w:sz w:val="24"/>
                <w:szCs w:val="24"/>
              </w:rPr>
              <w:t>Les compagnies chinoises opèrent dans les industries traditionnelles (mine, métallurgie), protégées (banques, télécoms) majoritairement des firmes d’Etat</w:t>
            </w:r>
          </w:p>
          <w:p w:rsidR="00D136A6" w:rsidRPr="00D136A6" w:rsidRDefault="00D136A6" w:rsidP="0066667A">
            <w:pPr>
              <w:rPr>
                <w:rFonts w:asciiTheme="minorHAnsi" w:hAnsiTheme="minorHAnsi"/>
                <w:sz w:val="24"/>
                <w:szCs w:val="24"/>
              </w:rPr>
            </w:pPr>
            <w:r w:rsidRPr="00D136A6">
              <w:rPr>
                <w:rFonts w:asciiTheme="minorHAnsi" w:hAnsiTheme="minorHAnsi"/>
                <w:sz w:val="24"/>
                <w:szCs w:val="24"/>
              </w:rPr>
              <w:t>Les groupes chinois réellement internationalisés avec des stratégies globales sont encore très faibles, peu nombreux</w:t>
            </w:r>
          </w:p>
          <w:p w:rsidR="00D136A6" w:rsidRPr="00D136A6" w:rsidRDefault="00D136A6" w:rsidP="0066667A">
            <w:pPr>
              <w:rPr>
                <w:rFonts w:asciiTheme="minorHAnsi" w:hAnsiTheme="minorHAnsi"/>
                <w:sz w:val="24"/>
                <w:szCs w:val="24"/>
              </w:rPr>
            </w:pPr>
            <w:r w:rsidRPr="00D136A6">
              <w:rPr>
                <w:rFonts w:asciiTheme="minorHAnsi" w:hAnsiTheme="minorHAnsi"/>
                <w:sz w:val="24"/>
                <w:szCs w:val="24"/>
              </w:rPr>
              <w:t>Absorption de capacités technologiques et d’innovations encore nécessaires</w:t>
            </w:r>
          </w:p>
          <w:p w:rsidR="00D136A6" w:rsidRPr="00D136A6" w:rsidRDefault="00D136A6" w:rsidP="0066667A">
            <w:pPr>
              <w:rPr>
                <w:rFonts w:asciiTheme="minorHAnsi" w:hAnsiTheme="minorHAnsi"/>
              </w:rPr>
            </w:pPr>
            <w:r w:rsidRPr="00D136A6">
              <w:rPr>
                <w:rFonts w:asciiTheme="minorHAnsi" w:hAnsiTheme="minorHAnsi"/>
                <w:sz w:val="24"/>
                <w:szCs w:val="24"/>
              </w:rPr>
              <w:t xml:space="preserve">Ressources financières insuffisantes pour assurer le financement </w:t>
            </w:r>
          </w:p>
        </w:tc>
      </w:tr>
    </w:tbl>
    <w:p w:rsidR="00D136A6" w:rsidRPr="00D136A6" w:rsidRDefault="00D136A6" w:rsidP="00D136A6">
      <w:pPr>
        <w:spacing w:line="360" w:lineRule="auto"/>
        <w:rPr>
          <w:rFonts w:asciiTheme="minorHAnsi" w:hAnsiTheme="minorHAnsi"/>
          <w:sz w:val="24"/>
          <w:szCs w:val="24"/>
        </w:rPr>
      </w:pPr>
    </w:p>
    <w:p w:rsidR="00D136A6" w:rsidRPr="00D136A6" w:rsidRDefault="00D136A6" w:rsidP="00D136A6">
      <w:pPr>
        <w:spacing w:line="360" w:lineRule="auto"/>
        <w:jc w:val="both"/>
        <w:rPr>
          <w:rFonts w:asciiTheme="minorHAnsi" w:hAnsiTheme="minorHAnsi"/>
          <w:sz w:val="24"/>
          <w:szCs w:val="24"/>
        </w:rPr>
      </w:pPr>
    </w:p>
    <w:p w:rsidR="00D136A6" w:rsidRPr="00D136A6" w:rsidRDefault="00D136A6" w:rsidP="00D136A6">
      <w:pPr>
        <w:spacing w:line="360" w:lineRule="auto"/>
        <w:jc w:val="both"/>
        <w:rPr>
          <w:rFonts w:asciiTheme="minorHAnsi" w:hAnsiTheme="minorHAnsi"/>
          <w:sz w:val="24"/>
          <w:szCs w:val="24"/>
        </w:rPr>
      </w:pPr>
      <w:r w:rsidRPr="00D136A6">
        <w:rPr>
          <w:rFonts w:asciiTheme="minorHAnsi" w:hAnsiTheme="minorHAnsi"/>
          <w:i/>
          <w:sz w:val="24"/>
          <w:szCs w:val="24"/>
        </w:rPr>
        <w:tab/>
        <w:t>La Chine à la conquête du monde ?</w:t>
      </w:r>
    </w:p>
    <w:p w:rsidR="00D136A6" w:rsidRPr="00D136A6" w:rsidRDefault="00D136A6" w:rsidP="00D136A6">
      <w:pPr>
        <w:spacing w:line="360" w:lineRule="auto"/>
        <w:jc w:val="both"/>
        <w:rPr>
          <w:rFonts w:asciiTheme="minorHAnsi" w:hAnsiTheme="minorHAnsi"/>
          <w:sz w:val="24"/>
          <w:szCs w:val="24"/>
        </w:rPr>
      </w:pPr>
      <w:r w:rsidRPr="00D136A6">
        <w:rPr>
          <w:rFonts w:asciiTheme="minorHAnsi" w:hAnsiTheme="minorHAnsi"/>
          <w:sz w:val="24"/>
          <w:szCs w:val="24"/>
        </w:rPr>
        <w:tab/>
        <w:t>La Chine est-elle en train d’acheter le monde</w:t>
      </w:r>
      <w:r w:rsidRPr="00D136A6">
        <w:rPr>
          <w:rStyle w:val="Appelnotedebasdep1"/>
          <w:rFonts w:asciiTheme="minorHAnsi" w:hAnsiTheme="minorHAnsi"/>
          <w:sz w:val="24"/>
          <w:szCs w:val="24"/>
        </w:rPr>
        <w:footnoteReference w:id="28"/>
      </w:r>
      <w:r w:rsidRPr="00D136A6">
        <w:rPr>
          <w:rFonts w:asciiTheme="minorHAnsi" w:hAnsiTheme="minorHAnsi"/>
          <w:sz w:val="24"/>
          <w:szCs w:val="24"/>
        </w:rPr>
        <w:t>?  Mène-t-elle une offensive en Europe</w:t>
      </w:r>
      <w:r w:rsidRPr="00D136A6">
        <w:rPr>
          <w:rStyle w:val="Appelnotedebasdep1"/>
          <w:rFonts w:asciiTheme="minorHAnsi" w:hAnsiTheme="minorHAnsi"/>
          <w:sz w:val="24"/>
          <w:szCs w:val="24"/>
        </w:rPr>
        <w:footnoteReference w:id="29"/>
      </w:r>
      <w:r w:rsidRPr="00D136A6">
        <w:rPr>
          <w:rFonts w:asciiTheme="minorHAnsi" w:hAnsiTheme="minorHAnsi"/>
          <w:sz w:val="24"/>
          <w:szCs w:val="24"/>
        </w:rPr>
        <w:t xml:space="preserve">  grâce à l’inquiétante alliance de l’Etat-Parti et de ses multinationales</w:t>
      </w:r>
      <w:r w:rsidRPr="00D136A6">
        <w:rPr>
          <w:rStyle w:val="Appelnotedebasdep1"/>
          <w:rFonts w:asciiTheme="minorHAnsi" w:hAnsiTheme="minorHAnsi"/>
          <w:sz w:val="24"/>
          <w:szCs w:val="24"/>
        </w:rPr>
        <w:footnoteReference w:id="30"/>
      </w:r>
      <w:r w:rsidRPr="00D136A6">
        <w:rPr>
          <w:rStyle w:val="Appelnotedebasdep1"/>
          <w:rFonts w:asciiTheme="minorHAnsi" w:hAnsiTheme="minorHAnsi"/>
          <w:sz w:val="24"/>
          <w:szCs w:val="24"/>
        </w:rPr>
        <w:t xml:space="preserve"> </w:t>
      </w:r>
      <w:r w:rsidRPr="00D136A6">
        <w:rPr>
          <w:rFonts w:asciiTheme="minorHAnsi" w:hAnsiTheme="minorHAnsi"/>
          <w:sz w:val="24"/>
          <w:szCs w:val="24"/>
        </w:rPr>
        <w:t>? Les récentes acquisitions d’actifs dans toute une série de secteurs, d’aéroports à des clubs de vacances donnent un aperçu de la présence de la Chine sur les marchés des économies développées. Le montage de ces opérations (transparence, origine des financements, liens avec le pouvoir) rend également les observateurs perplexes sur la viabilité de ces projets, la réputation de leurs initiateurs</w:t>
      </w:r>
      <w:r w:rsidRPr="00D136A6">
        <w:rPr>
          <w:rStyle w:val="Appelnotedebasdep1"/>
          <w:rFonts w:asciiTheme="minorHAnsi" w:hAnsiTheme="minorHAnsi"/>
          <w:sz w:val="24"/>
          <w:szCs w:val="24"/>
        </w:rPr>
        <w:footnoteReference w:id="31"/>
      </w:r>
      <w:r w:rsidRPr="00D136A6">
        <w:rPr>
          <w:rFonts w:asciiTheme="minorHAnsi" w:hAnsiTheme="minorHAnsi"/>
          <w:sz w:val="24"/>
          <w:szCs w:val="24"/>
        </w:rPr>
        <w:t>.</w:t>
      </w:r>
    </w:p>
    <w:p w:rsidR="00A3648B" w:rsidRPr="00D136A6" w:rsidRDefault="00A3648B" w:rsidP="00A3648B">
      <w:pPr>
        <w:spacing w:line="360" w:lineRule="auto"/>
        <w:jc w:val="both"/>
        <w:rPr>
          <w:rFonts w:asciiTheme="minorHAnsi" w:hAnsiTheme="minorHAnsi"/>
          <w:sz w:val="24"/>
          <w:szCs w:val="24"/>
        </w:rPr>
      </w:pPr>
      <w:r w:rsidRPr="00D136A6">
        <w:rPr>
          <w:rFonts w:asciiTheme="minorHAnsi" w:hAnsiTheme="minorHAnsi"/>
          <w:b/>
          <w:sz w:val="24"/>
          <w:szCs w:val="24"/>
        </w:rPr>
        <w:t>Figure 3 -: IDE chinois dans le monde et en Europe</w:t>
      </w:r>
    </w:p>
    <w:p w:rsidR="00A3648B" w:rsidRPr="00D136A6" w:rsidRDefault="00A3648B" w:rsidP="00A3648B">
      <w:pPr>
        <w:spacing w:line="360" w:lineRule="auto"/>
        <w:jc w:val="both"/>
        <w:rPr>
          <w:rFonts w:asciiTheme="minorHAnsi" w:hAnsiTheme="minorHAnsi"/>
          <w:sz w:val="24"/>
          <w:szCs w:val="24"/>
        </w:rPr>
      </w:pPr>
    </w:p>
    <w:tbl>
      <w:tblPr>
        <w:tblW w:w="0" w:type="auto"/>
        <w:tblInd w:w="-40" w:type="dxa"/>
        <w:tblLayout w:type="fixed"/>
        <w:tblLook w:val="0000"/>
      </w:tblPr>
      <w:tblGrid>
        <w:gridCol w:w="4592"/>
        <w:gridCol w:w="4543"/>
      </w:tblGrid>
      <w:tr w:rsidR="00A3648B" w:rsidRPr="00D136A6">
        <w:tc>
          <w:tcPr>
            <w:tcW w:w="4592" w:type="dxa"/>
            <w:tcBorders>
              <w:top w:val="single" w:sz="4" w:space="0" w:color="000000"/>
              <w:left w:val="single" w:sz="4" w:space="0" w:color="000000"/>
              <w:bottom w:val="single" w:sz="4" w:space="0" w:color="000000"/>
            </w:tcBorders>
            <w:shd w:val="clear" w:color="auto" w:fill="auto"/>
          </w:tcPr>
          <w:p w:rsidR="00A3648B" w:rsidRPr="00D136A6" w:rsidRDefault="00A3648B" w:rsidP="0066667A">
            <w:pPr>
              <w:spacing w:line="360" w:lineRule="auto"/>
              <w:rPr>
                <w:rFonts w:asciiTheme="minorHAnsi" w:hAnsiTheme="minorHAnsi"/>
                <w:sz w:val="24"/>
                <w:szCs w:val="24"/>
              </w:rPr>
            </w:pPr>
            <w:r w:rsidRPr="00D136A6">
              <w:rPr>
                <w:rFonts w:asciiTheme="minorHAnsi" w:hAnsiTheme="minorHAnsi"/>
                <w:sz w:val="24"/>
                <w:szCs w:val="24"/>
              </w:rPr>
              <w:t>IDE chinois en Europe, 2000-2014 (mios $)</w:t>
            </w:r>
          </w:p>
        </w:tc>
        <w:tc>
          <w:tcPr>
            <w:tcW w:w="4543" w:type="dxa"/>
            <w:tcBorders>
              <w:top w:val="single" w:sz="4" w:space="0" w:color="000000"/>
              <w:left w:val="single" w:sz="4" w:space="0" w:color="000000"/>
              <w:bottom w:val="single" w:sz="4" w:space="0" w:color="000000"/>
              <w:right w:val="single" w:sz="4" w:space="0" w:color="000000"/>
            </w:tcBorders>
            <w:shd w:val="clear" w:color="auto" w:fill="auto"/>
          </w:tcPr>
          <w:p w:rsidR="00A3648B" w:rsidRPr="00D136A6" w:rsidRDefault="00A3648B" w:rsidP="0066667A">
            <w:pPr>
              <w:spacing w:line="360" w:lineRule="auto"/>
              <w:rPr>
                <w:rFonts w:asciiTheme="minorHAnsi" w:hAnsiTheme="minorHAnsi"/>
              </w:rPr>
            </w:pPr>
            <w:r w:rsidRPr="00D136A6">
              <w:rPr>
                <w:rFonts w:asciiTheme="minorHAnsi" w:hAnsiTheme="minorHAnsi"/>
                <w:sz w:val="24"/>
                <w:szCs w:val="24"/>
              </w:rPr>
              <w:t>IDE chinois dans le monde</w:t>
            </w:r>
          </w:p>
        </w:tc>
      </w:tr>
      <w:tr w:rsidR="00A3648B" w:rsidRPr="00D136A6">
        <w:tc>
          <w:tcPr>
            <w:tcW w:w="4592" w:type="dxa"/>
            <w:tcBorders>
              <w:top w:val="single" w:sz="4" w:space="0" w:color="000000"/>
              <w:left w:val="single" w:sz="4" w:space="0" w:color="000000"/>
              <w:bottom w:val="single" w:sz="4" w:space="0" w:color="000000"/>
            </w:tcBorders>
            <w:shd w:val="clear" w:color="auto" w:fill="auto"/>
          </w:tcPr>
          <w:p w:rsidR="00A3648B" w:rsidRPr="00D136A6" w:rsidRDefault="00A3648B" w:rsidP="0066667A">
            <w:pPr>
              <w:spacing w:line="360" w:lineRule="auto"/>
              <w:rPr>
                <w:rFonts w:asciiTheme="minorHAnsi" w:hAnsiTheme="minorHAnsi"/>
              </w:rPr>
            </w:pPr>
            <w:r w:rsidRPr="00D136A6">
              <w:rPr>
                <w:rFonts w:asciiTheme="minorHAnsi" w:hAnsiTheme="minorHAnsi"/>
                <w:noProof/>
                <w:sz w:val="24"/>
                <w:szCs w:val="24"/>
              </w:rPr>
              <w:drawing>
                <wp:inline distT="0" distB="0" distL="0" distR="0">
                  <wp:extent cx="2776855" cy="165925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776855" cy="1659255"/>
                          </a:xfrm>
                          <a:prstGeom prst="rect">
                            <a:avLst/>
                          </a:prstGeom>
                          <a:solidFill>
                            <a:srgbClr val="FFFFFF"/>
                          </a:solidFill>
                          <a:ln>
                            <a:noFill/>
                          </a:ln>
                        </pic:spPr>
                      </pic:pic>
                    </a:graphicData>
                  </a:graphic>
                </wp:inline>
              </w:drawing>
            </w:r>
          </w:p>
        </w:tc>
        <w:tc>
          <w:tcPr>
            <w:tcW w:w="4543" w:type="dxa"/>
            <w:tcBorders>
              <w:top w:val="single" w:sz="4" w:space="0" w:color="000000"/>
              <w:left w:val="single" w:sz="4" w:space="0" w:color="000000"/>
              <w:bottom w:val="single" w:sz="4" w:space="0" w:color="000000"/>
              <w:right w:val="single" w:sz="4" w:space="0" w:color="000000"/>
            </w:tcBorders>
            <w:shd w:val="clear" w:color="auto" w:fill="auto"/>
          </w:tcPr>
          <w:p w:rsidR="00A3648B" w:rsidRPr="00D136A6" w:rsidRDefault="00A3648B" w:rsidP="0066667A">
            <w:pPr>
              <w:spacing w:line="360" w:lineRule="auto"/>
              <w:rPr>
                <w:rFonts w:asciiTheme="minorHAnsi" w:hAnsiTheme="minorHAnsi"/>
              </w:rPr>
            </w:pPr>
            <w:r w:rsidRPr="00D136A6">
              <w:rPr>
                <w:rFonts w:asciiTheme="minorHAnsi" w:hAnsiTheme="minorHAnsi"/>
                <w:noProof/>
                <w:sz w:val="24"/>
                <w:szCs w:val="24"/>
              </w:rPr>
              <w:drawing>
                <wp:inline distT="0" distB="0" distL="0" distR="0">
                  <wp:extent cx="2649855" cy="206565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649855" cy="2065655"/>
                          </a:xfrm>
                          <a:prstGeom prst="rect">
                            <a:avLst/>
                          </a:prstGeom>
                          <a:solidFill>
                            <a:srgbClr val="FFFFFF"/>
                          </a:solidFill>
                          <a:ln>
                            <a:noFill/>
                          </a:ln>
                        </pic:spPr>
                      </pic:pic>
                    </a:graphicData>
                  </a:graphic>
                </wp:inline>
              </w:drawing>
            </w:r>
          </w:p>
        </w:tc>
      </w:tr>
    </w:tbl>
    <w:p w:rsidR="00A3648B" w:rsidRPr="00D136A6" w:rsidRDefault="00A3648B" w:rsidP="00A3648B">
      <w:pPr>
        <w:spacing w:line="360" w:lineRule="auto"/>
        <w:rPr>
          <w:rFonts w:asciiTheme="minorHAnsi" w:hAnsiTheme="minorHAnsi"/>
          <w:sz w:val="24"/>
          <w:szCs w:val="24"/>
        </w:rPr>
      </w:pPr>
      <w:r w:rsidRPr="00D136A6">
        <w:rPr>
          <w:rFonts w:asciiTheme="minorHAnsi" w:hAnsiTheme="minorHAnsi"/>
          <w:i/>
          <w:iCs/>
          <w:sz w:val="24"/>
          <w:szCs w:val="24"/>
        </w:rPr>
        <w:t>Source: EY (2015)</w:t>
      </w:r>
      <w:r w:rsidRPr="00D136A6">
        <w:rPr>
          <w:rStyle w:val="Appelnotedebasdep1"/>
          <w:rFonts w:asciiTheme="minorHAnsi" w:hAnsiTheme="minorHAnsi"/>
          <w:i/>
          <w:iCs/>
          <w:sz w:val="24"/>
          <w:szCs w:val="24"/>
        </w:rPr>
        <w:footnoteReference w:id="32"/>
      </w:r>
    </w:p>
    <w:p w:rsidR="00D136A6" w:rsidRPr="00D136A6" w:rsidRDefault="00D136A6" w:rsidP="00D136A6">
      <w:pPr>
        <w:spacing w:line="360" w:lineRule="auto"/>
        <w:jc w:val="both"/>
        <w:rPr>
          <w:rFonts w:asciiTheme="minorHAnsi" w:hAnsiTheme="minorHAnsi"/>
          <w:sz w:val="24"/>
          <w:szCs w:val="24"/>
        </w:rPr>
      </w:pPr>
    </w:p>
    <w:p w:rsidR="00D136A6" w:rsidRPr="00D136A6" w:rsidRDefault="00D136A6" w:rsidP="00D136A6">
      <w:pPr>
        <w:spacing w:line="360" w:lineRule="auto"/>
        <w:jc w:val="both"/>
        <w:rPr>
          <w:rFonts w:asciiTheme="minorHAnsi" w:hAnsiTheme="minorHAnsi"/>
          <w:sz w:val="24"/>
          <w:szCs w:val="24"/>
        </w:rPr>
      </w:pPr>
      <w:r w:rsidRPr="00D136A6">
        <w:rPr>
          <w:rFonts w:asciiTheme="minorHAnsi" w:hAnsiTheme="minorHAnsi"/>
          <w:sz w:val="24"/>
          <w:szCs w:val="24"/>
          <w:lang w:val="en-US"/>
        </w:rPr>
        <w:tab/>
        <w:t xml:space="preserve">Dans son ouvrage </w:t>
      </w:r>
      <w:r w:rsidRPr="00D136A6">
        <w:rPr>
          <w:rFonts w:asciiTheme="minorHAnsi" w:hAnsiTheme="minorHAnsi"/>
          <w:i/>
          <w:sz w:val="24"/>
          <w:szCs w:val="24"/>
          <w:lang w:val="en-US"/>
        </w:rPr>
        <w:t>Is China Buying the World ?</w:t>
      </w:r>
      <w:r w:rsidRPr="00D136A6">
        <w:rPr>
          <w:rFonts w:asciiTheme="minorHAnsi" w:hAnsiTheme="minorHAnsi"/>
          <w:sz w:val="24"/>
          <w:szCs w:val="24"/>
          <w:lang w:val="en-US"/>
        </w:rPr>
        <w:t xml:space="preserve"> </w:t>
      </w:r>
      <w:r w:rsidRPr="00D136A6">
        <w:rPr>
          <w:rFonts w:asciiTheme="minorHAnsi" w:hAnsiTheme="minorHAnsi"/>
          <w:sz w:val="24"/>
          <w:szCs w:val="24"/>
        </w:rPr>
        <w:t>Peter Nolan</w:t>
      </w:r>
      <w:r w:rsidRPr="00D136A6">
        <w:rPr>
          <w:rStyle w:val="Appelnotedebasdep1"/>
          <w:rFonts w:asciiTheme="minorHAnsi" w:hAnsiTheme="minorHAnsi"/>
          <w:sz w:val="24"/>
          <w:szCs w:val="24"/>
        </w:rPr>
        <w:footnoteReference w:id="33"/>
      </w:r>
      <w:r w:rsidRPr="00D136A6">
        <w:rPr>
          <w:rFonts w:asciiTheme="minorHAnsi" w:hAnsiTheme="minorHAnsi"/>
          <w:sz w:val="24"/>
          <w:szCs w:val="24"/>
        </w:rPr>
        <w:t xml:space="preserve"> analyse l’émergence de la Chine sur le plan international, l’internationalisation de ses firmes, leur soif d’acquisition d’actifs étrangers tant dans le domaine des ressources naturelles, que des technologies. Son analyse relativise la place des IDE chinois en général et en direction des économies émergentes en particulier. Il doute des capacités de la Chine à absorber la technologie par ses acquisitions. Il montre qu’en niveau, les réserves financières de la Chine mobilisées pour réaliser ces acquisitions représentent la capitalisation boursière de seulement deux plus grandes firmes américaines (Exxon, Apple).</w:t>
      </w:r>
    </w:p>
    <w:p w:rsidR="00D136A6" w:rsidRPr="00D136A6" w:rsidRDefault="00D136A6" w:rsidP="00D136A6">
      <w:pPr>
        <w:spacing w:line="360" w:lineRule="auto"/>
        <w:jc w:val="both"/>
        <w:rPr>
          <w:rFonts w:asciiTheme="minorHAnsi" w:hAnsiTheme="minorHAnsi"/>
          <w:sz w:val="24"/>
          <w:szCs w:val="24"/>
        </w:rPr>
      </w:pPr>
    </w:p>
    <w:p w:rsidR="00D136A6" w:rsidRPr="00D136A6" w:rsidRDefault="00D136A6" w:rsidP="00D136A6">
      <w:pPr>
        <w:spacing w:line="360" w:lineRule="auto"/>
        <w:jc w:val="both"/>
        <w:rPr>
          <w:rFonts w:asciiTheme="minorHAnsi" w:hAnsiTheme="minorHAnsi"/>
          <w:sz w:val="24"/>
          <w:szCs w:val="24"/>
        </w:rPr>
      </w:pPr>
      <w:r w:rsidRPr="00D136A6">
        <w:rPr>
          <w:rFonts w:asciiTheme="minorHAnsi" w:hAnsiTheme="minorHAnsi"/>
          <w:sz w:val="24"/>
          <w:szCs w:val="24"/>
        </w:rPr>
        <w:t>Les projets d’investissements chinois sont rapidement devenus les bienvenus tant dans l’UE des 15 que parmi les NEM. Les économies les plus avancées (Grande Bretagne, Allemagne, France) mettent en place des politiques attractives en direction des investisseurs chinois.</w:t>
      </w:r>
    </w:p>
    <w:p w:rsidR="00D136A6" w:rsidRPr="00D136A6" w:rsidRDefault="00D136A6" w:rsidP="00D136A6">
      <w:pPr>
        <w:spacing w:line="360" w:lineRule="auto"/>
        <w:jc w:val="both"/>
        <w:rPr>
          <w:rFonts w:asciiTheme="minorHAnsi" w:hAnsiTheme="minorHAnsi"/>
          <w:sz w:val="24"/>
          <w:szCs w:val="24"/>
        </w:rPr>
      </w:pPr>
    </w:p>
    <w:p w:rsidR="00D136A6" w:rsidRPr="00D136A6" w:rsidRDefault="00D136A6" w:rsidP="00D136A6">
      <w:pPr>
        <w:spacing w:line="360" w:lineRule="auto"/>
        <w:rPr>
          <w:rFonts w:asciiTheme="minorHAnsi" w:hAnsiTheme="minorHAnsi"/>
          <w:sz w:val="24"/>
          <w:szCs w:val="24"/>
        </w:rPr>
      </w:pPr>
      <w:r w:rsidRPr="00D136A6">
        <w:rPr>
          <w:rFonts w:asciiTheme="minorHAnsi" w:hAnsiTheme="minorHAnsi"/>
          <w:b/>
          <w:sz w:val="24"/>
          <w:szCs w:val="24"/>
        </w:rPr>
        <w:t>Figure  4: Les trois étapes d’entrée des IDE chinois en Europe</w:t>
      </w:r>
    </w:p>
    <w:p w:rsidR="00D136A6" w:rsidRPr="00D136A6" w:rsidRDefault="00D136A6" w:rsidP="00D136A6">
      <w:pPr>
        <w:spacing w:line="360" w:lineRule="auto"/>
        <w:rPr>
          <w:rFonts w:asciiTheme="minorHAnsi" w:hAnsiTheme="minorHAnsi"/>
          <w:sz w:val="24"/>
          <w:szCs w:val="24"/>
        </w:rPr>
      </w:pPr>
    </w:p>
    <w:tbl>
      <w:tblPr>
        <w:tblW w:w="0" w:type="auto"/>
        <w:tblInd w:w="-25" w:type="dxa"/>
        <w:tblLayout w:type="fixed"/>
        <w:tblLook w:val="0000"/>
      </w:tblPr>
      <w:tblGrid>
        <w:gridCol w:w="3018"/>
        <w:gridCol w:w="3186"/>
        <w:gridCol w:w="141"/>
        <w:gridCol w:w="2885"/>
      </w:tblGrid>
      <w:tr w:rsidR="00D136A6" w:rsidRPr="00D136A6">
        <w:tc>
          <w:tcPr>
            <w:tcW w:w="9230" w:type="dxa"/>
            <w:gridSpan w:val="4"/>
            <w:tcBorders>
              <w:top w:val="single" w:sz="4" w:space="0" w:color="000000"/>
              <w:left w:val="single" w:sz="4" w:space="0" w:color="000000"/>
              <w:bottom w:val="single" w:sz="4" w:space="0" w:color="000000"/>
              <w:right w:val="single" w:sz="4" w:space="0" w:color="000000"/>
            </w:tcBorders>
            <w:shd w:val="clear" w:color="auto" w:fill="auto"/>
          </w:tcPr>
          <w:p w:rsidR="00D136A6" w:rsidRPr="00D136A6" w:rsidRDefault="00D136A6" w:rsidP="0066667A">
            <w:pPr>
              <w:jc w:val="center"/>
              <w:rPr>
                <w:rFonts w:asciiTheme="minorHAnsi" w:hAnsiTheme="minorHAnsi"/>
              </w:rPr>
            </w:pPr>
            <w:r w:rsidRPr="00D136A6">
              <w:rPr>
                <w:rFonts w:asciiTheme="minorHAnsi" w:eastAsia="Calibri" w:hAnsiTheme="minorHAnsi"/>
                <w:sz w:val="24"/>
                <w:szCs w:val="24"/>
              </w:rPr>
              <w:t>Avant le crise (2001-2008)</w:t>
            </w:r>
          </w:p>
        </w:tc>
      </w:tr>
      <w:tr w:rsidR="00D136A6" w:rsidRPr="00D136A6">
        <w:tc>
          <w:tcPr>
            <w:tcW w:w="3018" w:type="dxa"/>
            <w:tcBorders>
              <w:top w:val="single" w:sz="4" w:space="0" w:color="000000"/>
              <w:left w:val="single" w:sz="4" w:space="0" w:color="000000"/>
              <w:bottom w:val="single" w:sz="4" w:space="0" w:color="000000"/>
            </w:tcBorders>
            <w:shd w:val="clear" w:color="auto" w:fill="auto"/>
          </w:tcPr>
          <w:p w:rsidR="00D136A6" w:rsidRPr="00D136A6" w:rsidRDefault="00D136A6" w:rsidP="0066667A">
            <w:pPr>
              <w:rPr>
                <w:rFonts w:asciiTheme="minorHAnsi" w:eastAsia="Calibri" w:hAnsiTheme="minorHAnsi"/>
                <w:sz w:val="24"/>
                <w:szCs w:val="24"/>
              </w:rPr>
            </w:pPr>
            <w:r w:rsidRPr="00D136A6">
              <w:rPr>
                <w:rFonts w:asciiTheme="minorHAnsi" w:eastAsia="Calibri" w:hAnsiTheme="minorHAnsi"/>
                <w:sz w:val="24"/>
                <w:szCs w:val="24"/>
              </w:rPr>
              <w:t>La Chine rejoint l’OMC. Dérèglementation domestique, Politique de rattrapage</w:t>
            </w:r>
          </w:p>
        </w:tc>
        <w:tc>
          <w:tcPr>
            <w:tcW w:w="3186" w:type="dxa"/>
            <w:tcBorders>
              <w:top w:val="single" w:sz="4" w:space="0" w:color="000000"/>
              <w:left w:val="single" w:sz="4" w:space="0" w:color="000000"/>
              <w:bottom w:val="single" w:sz="4" w:space="0" w:color="000000"/>
            </w:tcBorders>
            <w:shd w:val="clear" w:color="auto" w:fill="auto"/>
          </w:tcPr>
          <w:p w:rsidR="00D136A6" w:rsidRPr="00D136A6" w:rsidRDefault="00D136A6" w:rsidP="0066667A">
            <w:pPr>
              <w:rPr>
                <w:rFonts w:asciiTheme="minorHAnsi" w:eastAsia="Calibri" w:hAnsiTheme="minorHAnsi"/>
                <w:sz w:val="24"/>
                <w:szCs w:val="24"/>
              </w:rPr>
            </w:pPr>
            <w:r w:rsidRPr="00D136A6">
              <w:rPr>
                <w:rFonts w:asciiTheme="minorHAnsi" w:eastAsia="Calibri" w:hAnsiTheme="minorHAnsi"/>
                <w:sz w:val="24"/>
                <w:szCs w:val="24"/>
              </w:rPr>
              <w:t xml:space="preserve">Les entreprises chinoises : Réagissent à la dérèglementation, OMC, expérimentation, </w:t>
            </w:r>
          </w:p>
          <w:p w:rsidR="00D136A6" w:rsidRPr="00D136A6" w:rsidRDefault="00D136A6" w:rsidP="0066667A">
            <w:pPr>
              <w:rPr>
                <w:rFonts w:asciiTheme="minorHAnsi" w:eastAsia="Calibri" w:hAnsiTheme="minorHAnsi"/>
                <w:sz w:val="24"/>
                <w:szCs w:val="24"/>
              </w:rPr>
            </w:pPr>
            <w:r w:rsidRPr="00D136A6">
              <w:rPr>
                <w:rFonts w:asciiTheme="minorHAnsi" w:eastAsia="Calibri" w:hAnsiTheme="minorHAnsi"/>
                <w:sz w:val="24"/>
                <w:szCs w:val="24"/>
              </w:rPr>
              <w:t>IDE sortants : faible portion en direction de l’UE</w:t>
            </w:r>
          </w:p>
        </w:tc>
        <w:tc>
          <w:tcPr>
            <w:tcW w:w="3026" w:type="dxa"/>
            <w:gridSpan w:val="2"/>
            <w:tcBorders>
              <w:top w:val="single" w:sz="4" w:space="0" w:color="000000"/>
              <w:left w:val="single" w:sz="4" w:space="0" w:color="000000"/>
              <w:bottom w:val="single" w:sz="4" w:space="0" w:color="000000"/>
              <w:right w:val="single" w:sz="4" w:space="0" w:color="000000"/>
            </w:tcBorders>
            <w:shd w:val="clear" w:color="auto" w:fill="auto"/>
          </w:tcPr>
          <w:p w:rsidR="00D136A6" w:rsidRPr="00D136A6" w:rsidRDefault="00D136A6" w:rsidP="0066667A">
            <w:pPr>
              <w:rPr>
                <w:rFonts w:asciiTheme="minorHAnsi" w:hAnsiTheme="minorHAnsi"/>
              </w:rPr>
            </w:pPr>
            <w:r w:rsidRPr="00D136A6">
              <w:rPr>
                <w:rFonts w:asciiTheme="minorHAnsi" w:eastAsia="Calibri" w:hAnsiTheme="minorHAnsi"/>
                <w:sz w:val="24"/>
                <w:szCs w:val="24"/>
              </w:rPr>
              <w:t>UE pas impressionnée par les IDE sortants chinois</w:t>
            </w:r>
          </w:p>
        </w:tc>
      </w:tr>
      <w:tr w:rsidR="00D136A6" w:rsidRPr="00D136A6">
        <w:tc>
          <w:tcPr>
            <w:tcW w:w="9230" w:type="dxa"/>
            <w:gridSpan w:val="4"/>
            <w:tcBorders>
              <w:top w:val="single" w:sz="4" w:space="0" w:color="000000"/>
              <w:left w:val="single" w:sz="4" w:space="0" w:color="000000"/>
              <w:bottom w:val="single" w:sz="4" w:space="0" w:color="000000"/>
              <w:right w:val="single" w:sz="4" w:space="0" w:color="000000"/>
            </w:tcBorders>
            <w:shd w:val="clear" w:color="auto" w:fill="auto"/>
          </w:tcPr>
          <w:p w:rsidR="00D136A6" w:rsidRPr="00D136A6" w:rsidRDefault="00D136A6" w:rsidP="0066667A">
            <w:pPr>
              <w:jc w:val="center"/>
              <w:rPr>
                <w:rFonts w:asciiTheme="minorHAnsi" w:hAnsiTheme="minorHAnsi"/>
              </w:rPr>
            </w:pPr>
            <w:r w:rsidRPr="00D136A6">
              <w:rPr>
                <w:rFonts w:asciiTheme="minorHAnsi" w:eastAsia="Calibri" w:hAnsiTheme="minorHAnsi"/>
                <w:sz w:val="24"/>
                <w:szCs w:val="24"/>
              </w:rPr>
              <w:t>Pendant la crise financière (2009-2012)</w:t>
            </w:r>
          </w:p>
        </w:tc>
      </w:tr>
      <w:tr w:rsidR="00D136A6" w:rsidRPr="00D136A6">
        <w:tc>
          <w:tcPr>
            <w:tcW w:w="3018" w:type="dxa"/>
            <w:tcBorders>
              <w:top w:val="single" w:sz="4" w:space="0" w:color="000000"/>
              <w:left w:val="single" w:sz="4" w:space="0" w:color="000000"/>
              <w:bottom w:val="single" w:sz="4" w:space="0" w:color="000000"/>
            </w:tcBorders>
            <w:shd w:val="clear" w:color="auto" w:fill="auto"/>
          </w:tcPr>
          <w:p w:rsidR="00D136A6" w:rsidRPr="00D136A6" w:rsidRDefault="00D136A6" w:rsidP="0066667A">
            <w:pPr>
              <w:rPr>
                <w:rFonts w:asciiTheme="minorHAnsi" w:eastAsia="Calibri" w:hAnsiTheme="minorHAnsi"/>
                <w:sz w:val="24"/>
                <w:szCs w:val="24"/>
              </w:rPr>
            </w:pPr>
            <w:r w:rsidRPr="00D136A6">
              <w:rPr>
                <w:rFonts w:asciiTheme="minorHAnsi" w:eastAsia="Calibri" w:hAnsiTheme="minorHAnsi"/>
                <w:sz w:val="24"/>
                <w:szCs w:val="24"/>
              </w:rPr>
              <w:t>Chine : encouragements, « prendre avantage » de la crise de l’UE</w:t>
            </w:r>
          </w:p>
        </w:tc>
        <w:tc>
          <w:tcPr>
            <w:tcW w:w="3327" w:type="dxa"/>
            <w:gridSpan w:val="2"/>
            <w:tcBorders>
              <w:top w:val="single" w:sz="4" w:space="0" w:color="000000"/>
              <w:left w:val="single" w:sz="4" w:space="0" w:color="000000"/>
              <w:bottom w:val="single" w:sz="4" w:space="0" w:color="000000"/>
            </w:tcBorders>
            <w:shd w:val="clear" w:color="auto" w:fill="auto"/>
          </w:tcPr>
          <w:p w:rsidR="00D136A6" w:rsidRPr="00D136A6" w:rsidRDefault="00D136A6" w:rsidP="0066667A">
            <w:pPr>
              <w:rPr>
                <w:rFonts w:asciiTheme="minorHAnsi" w:eastAsia="Calibri" w:hAnsiTheme="minorHAnsi"/>
                <w:sz w:val="24"/>
                <w:szCs w:val="24"/>
              </w:rPr>
            </w:pPr>
            <w:r w:rsidRPr="00D136A6">
              <w:rPr>
                <w:rFonts w:asciiTheme="minorHAnsi" w:eastAsia="Calibri" w:hAnsiTheme="minorHAnsi"/>
                <w:sz w:val="24"/>
                <w:szCs w:val="24"/>
              </w:rPr>
              <w:t>Entreprises chinoise : saisir l’opportunité unique</w:t>
            </w:r>
          </w:p>
        </w:tc>
        <w:tc>
          <w:tcPr>
            <w:tcW w:w="2885" w:type="dxa"/>
            <w:tcBorders>
              <w:top w:val="single" w:sz="4" w:space="0" w:color="000000"/>
              <w:left w:val="single" w:sz="4" w:space="0" w:color="000000"/>
              <w:bottom w:val="single" w:sz="4" w:space="0" w:color="000000"/>
              <w:right w:val="single" w:sz="4" w:space="0" w:color="000000"/>
            </w:tcBorders>
            <w:shd w:val="clear" w:color="auto" w:fill="auto"/>
          </w:tcPr>
          <w:p w:rsidR="00D136A6" w:rsidRPr="00D136A6" w:rsidRDefault="00D136A6" w:rsidP="0066667A">
            <w:pPr>
              <w:rPr>
                <w:rFonts w:asciiTheme="minorHAnsi" w:hAnsiTheme="minorHAnsi"/>
              </w:rPr>
            </w:pPr>
            <w:r w:rsidRPr="00D136A6">
              <w:rPr>
                <w:rFonts w:asciiTheme="minorHAnsi" w:eastAsia="Calibri" w:hAnsiTheme="minorHAnsi"/>
                <w:sz w:val="24"/>
                <w:szCs w:val="24"/>
              </w:rPr>
              <w:t>Les états membres se concurrencent pour attirer les IDE chinois</w:t>
            </w:r>
          </w:p>
        </w:tc>
      </w:tr>
      <w:tr w:rsidR="00D136A6" w:rsidRPr="00D136A6">
        <w:tc>
          <w:tcPr>
            <w:tcW w:w="9230" w:type="dxa"/>
            <w:gridSpan w:val="4"/>
            <w:tcBorders>
              <w:top w:val="single" w:sz="4" w:space="0" w:color="000000"/>
              <w:left w:val="single" w:sz="4" w:space="0" w:color="000000"/>
              <w:bottom w:val="single" w:sz="4" w:space="0" w:color="000000"/>
              <w:right w:val="single" w:sz="4" w:space="0" w:color="000000"/>
            </w:tcBorders>
            <w:shd w:val="clear" w:color="auto" w:fill="auto"/>
          </w:tcPr>
          <w:p w:rsidR="00D136A6" w:rsidRPr="00D136A6" w:rsidRDefault="00D136A6" w:rsidP="0066667A">
            <w:pPr>
              <w:jc w:val="center"/>
              <w:rPr>
                <w:rFonts w:asciiTheme="minorHAnsi" w:hAnsiTheme="minorHAnsi"/>
              </w:rPr>
            </w:pPr>
            <w:r w:rsidRPr="00D136A6">
              <w:rPr>
                <w:rFonts w:asciiTheme="minorHAnsi" w:eastAsia="Calibri" w:hAnsiTheme="minorHAnsi"/>
                <w:sz w:val="24"/>
                <w:szCs w:val="24"/>
              </w:rPr>
              <w:t>Après la crise (depuis 2013)</w:t>
            </w:r>
          </w:p>
        </w:tc>
      </w:tr>
      <w:tr w:rsidR="00D136A6" w:rsidRPr="00D136A6">
        <w:tc>
          <w:tcPr>
            <w:tcW w:w="3018" w:type="dxa"/>
            <w:tcBorders>
              <w:top w:val="single" w:sz="4" w:space="0" w:color="000000"/>
              <w:left w:val="single" w:sz="4" w:space="0" w:color="000000"/>
              <w:bottom w:val="single" w:sz="4" w:space="0" w:color="000000"/>
            </w:tcBorders>
            <w:shd w:val="clear" w:color="auto" w:fill="auto"/>
          </w:tcPr>
          <w:p w:rsidR="00D136A6" w:rsidRPr="00D136A6" w:rsidRDefault="00D136A6" w:rsidP="0066667A">
            <w:pPr>
              <w:rPr>
                <w:rFonts w:asciiTheme="minorHAnsi" w:eastAsia="Calibri" w:hAnsiTheme="minorHAnsi"/>
                <w:sz w:val="24"/>
                <w:szCs w:val="24"/>
              </w:rPr>
            </w:pPr>
            <w:r w:rsidRPr="00D136A6">
              <w:rPr>
                <w:rFonts w:asciiTheme="minorHAnsi" w:eastAsia="Calibri" w:hAnsiTheme="minorHAnsi"/>
                <w:sz w:val="24"/>
                <w:szCs w:val="24"/>
              </w:rPr>
              <w:t>Chine : nouveau gouvernement avec Xi et Li, de nouveaux encouragements et nouvelles initiatives (</w:t>
            </w:r>
            <w:r w:rsidRPr="00D136A6">
              <w:rPr>
                <w:rFonts w:asciiTheme="minorHAnsi" w:eastAsia="Calibri" w:hAnsiTheme="minorHAnsi"/>
                <w:i/>
                <w:sz w:val="24"/>
                <w:szCs w:val="24"/>
              </w:rPr>
              <w:t>Silk road  infrastructure Fund</w:t>
            </w:r>
            <w:r w:rsidRPr="00D136A6">
              <w:rPr>
                <w:rFonts w:asciiTheme="minorHAnsi" w:eastAsia="Calibri" w:hAnsiTheme="minorHAnsi"/>
                <w:sz w:val="24"/>
                <w:szCs w:val="24"/>
              </w:rPr>
              <w:t>, OBOR)</w:t>
            </w:r>
          </w:p>
        </w:tc>
        <w:tc>
          <w:tcPr>
            <w:tcW w:w="3327" w:type="dxa"/>
            <w:gridSpan w:val="2"/>
            <w:tcBorders>
              <w:top w:val="single" w:sz="4" w:space="0" w:color="000000"/>
              <w:left w:val="single" w:sz="4" w:space="0" w:color="000000"/>
              <w:bottom w:val="single" w:sz="4" w:space="0" w:color="000000"/>
            </w:tcBorders>
            <w:shd w:val="clear" w:color="auto" w:fill="auto"/>
          </w:tcPr>
          <w:p w:rsidR="00D136A6" w:rsidRPr="00D136A6" w:rsidRDefault="00D136A6" w:rsidP="0066667A">
            <w:pPr>
              <w:rPr>
                <w:rFonts w:asciiTheme="minorHAnsi" w:eastAsia="Calibri" w:hAnsiTheme="minorHAnsi"/>
                <w:sz w:val="24"/>
                <w:szCs w:val="24"/>
              </w:rPr>
            </w:pPr>
            <w:r w:rsidRPr="00D136A6">
              <w:rPr>
                <w:rFonts w:asciiTheme="minorHAnsi" w:eastAsia="Calibri" w:hAnsiTheme="minorHAnsi"/>
                <w:sz w:val="24"/>
                <w:szCs w:val="24"/>
              </w:rPr>
              <w:t>Les entreprises chinoises continuent à investir en suivant des stratégies plus sophistiquées</w:t>
            </w:r>
          </w:p>
          <w:p w:rsidR="00D136A6" w:rsidRPr="00D136A6" w:rsidRDefault="00D136A6" w:rsidP="0066667A">
            <w:pPr>
              <w:rPr>
                <w:rFonts w:asciiTheme="minorHAnsi" w:eastAsia="Calibri" w:hAnsiTheme="minorHAnsi"/>
                <w:sz w:val="24"/>
                <w:szCs w:val="24"/>
              </w:rPr>
            </w:pPr>
            <w:r w:rsidRPr="00D136A6">
              <w:rPr>
                <w:rFonts w:asciiTheme="minorHAnsi" w:eastAsia="Calibri" w:hAnsiTheme="minorHAnsi"/>
                <w:sz w:val="24"/>
                <w:szCs w:val="24"/>
              </w:rPr>
              <w:t>Multiplicité d’acteurs</w:t>
            </w:r>
          </w:p>
        </w:tc>
        <w:tc>
          <w:tcPr>
            <w:tcW w:w="2885" w:type="dxa"/>
            <w:tcBorders>
              <w:top w:val="single" w:sz="4" w:space="0" w:color="000000"/>
              <w:left w:val="single" w:sz="4" w:space="0" w:color="000000"/>
              <w:bottom w:val="single" w:sz="4" w:space="0" w:color="000000"/>
              <w:right w:val="single" w:sz="4" w:space="0" w:color="000000"/>
            </w:tcBorders>
            <w:shd w:val="clear" w:color="auto" w:fill="auto"/>
          </w:tcPr>
          <w:p w:rsidR="00D136A6" w:rsidRPr="00D136A6" w:rsidRDefault="00D136A6" w:rsidP="0066667A">
            <w:pPr>
              <w:rPr>
                <w:rFonts w:asciiTheme="minorHAnsi" w:hAnsiTheme="minorHAnsi"/>
              </w:rPr>
            </w:pPr>
            <w:r w:rsidRPr="00D136A6">
              <w:rPr>
                <w:rFonts w:asciiTheme="minorHAnsi" w:eastAsia="Calibri" w:hAnsiTheme="minorHAnsi"/>
                <w:sz w:val="24"/>
                <w:szCs w:val="24"/>
              </w:rPr>
              <w:t>UE : traités bilatéraux concernant l’investissement, intérêt collectif/demande du même traitement sur le marché chinois</w:t>
            </w:r>
          </w:p>
        </w:tc>
      </w:tr>
    </w:tbl>
    <w:p w:rsidR="00D136A6" w:rsidRPr="00D136A6" w:rsidRDefault="00D136A6" w:rsidP="00D136A6">
      <w:pPr>
        <w:spacing w:line="360" w:lineRule="auto"/>
        <w:rPr>
          <w:rFonts w:asciiTheme="minorHAnsi" w:hAnsiTheme="minorHAnsi"/>
          <w:sz w:val="24"/>
          <w:szCs w:val="24"/>
        </w:rPr>
      </w:pPr>
      <w:r w:rsidRPr="00D136A6">
        <w:rPr>
          <w:rFonts w:asciiTheme="minorHAnsi" w:hAnsiTheme="minorHAnsi"/>
          <w:sz w:val="24"/>
          <w:szCs w:val="24"/>
        </w:rPr>
        <w:t>Source : d’après Jia (2015</w:t>
      </w:r>
      <w:r w:rsidRPr="00D136A6">
        <w:rPr>
          <w:rStyle w:val="Appelnotedebasdep1"/>
          <w:rFonts w:asciiTheme="minorHAnsi" w:hAnsiTheme="minorHAnsi"/>
          <w:sz w:val="24"/>
          <w:szCs w:val="24"/>
        </w:rPr>
        <w:footnoteReference w:id="34"/>
      </w:r>
    </w:p>
    <w:p w:rsidR="00D136A6" w:rsidRPr="00D136A6" w:rsidRDefault="00D136A6" w:rsidP="00D136A6">
      <w:pPr>
        <w:spacing w:line="360" w:lineRule="auto"/>
        <w:rPr>
          <w:rFonts w:asciiTheme="minorHAnsi" w:hAnsiTheme="minorHAnsi"/>
          <w:sz w:val="24"/>
          <w:szCs w:val="24"/>
        </w:rPr>
      </w:pPr>
    </w:p>
    <w:p w:rsidR="00D136A6" w:rsidRPr="00D136A6" w:rsidRDefault="00D136A6" w:rsidP="00D136A6">
      <w:pPr>
        <w:rPr>
          <w:rFonts w:asciiTheme="minorHAnsi" w:hAnsiTheme="minorHAnsi"/>
          <w:sz w:val="24"/>
          <w:szCs w:val="24"/>
        </w:rPr>
      </w:pPr>
      <w:r w:rsidRPr="00D136A6">
        <w:rPr>
          <w:rFonts w:asciiTheme="minorHAnsi" w:hAnsiTheme="minorHAnsi"/>
          <w:i/>
          <w:sz w:val="24"/>
          <w:szCs w:val="24"/>
        </w:rPr>
        <w:t>Une progression rapide des IDE chinois en Europe</w:t>
      </w:r>
    </w:p>
    <w:p w:rsidR="00D136A6" w:rsidRPr="00D136A6" w:rsidRDefault="00D136A6" w:rsidP="00D136A6">
      <w:pPr>
        <w:rPr>
          <w:rFonts w:asciiTheme="minorHAnsi" w:hAnsiTheme="minorHAnsi"/>
          <w:sz w:val="24"/>
          <w:szCs w:val="24"/>
        </w:rPr>
      </w:pPr>
    </w:p>
    <w:p w:rsidR="00D136A6" w:rsidRPr="00D136A6" w:rsidRDefault="00D136A6" w:rsidP="00D136A6">
      <w:pPr>
        <w:spacing w:line="360" w:lineRule="auto"/>
        <w:ind w:firstLine="709"/>
        <w:jc w:val="both"/>
        <w:rPr>
          <w:rFonts w:asciiTheme="minorHAnsi" w:hAnsiTheme="minorHAnsi"/>
          <w:sz w:val="24"/>
          <w:szCs w:val="24"/>
        </w:rPr>
      </w:pPr>
      <w:r w:rsidRPr="00D136A6">
        <w:rPr>
          <w:rFonts w:asciiTheme="minorHAnsi" w:hAnsiTheme="minorHAnsi"/>
          <w:sz w:val="24"/>
          <w:szCs w:val="24"/>
        </w:rPr>
        <w:t>Selon le rapport du Rhodium Group (2015) qui suit l’évolution des investissements chinois en Europe, des 28 entre 2000 et 2014 on a dénombré un total de 1047 transactions dont 726 investissements vierges et 321 acquisitions. Les flux annuels d’investissement ont été modestes jusqu’en 2008, s’élèvent à environ 2 milliards de $ en 2009, 2010 avant de monter à 7 milliards en 2011 et 2012. A la suite d’une baisse passagère (6 milliards en 2013), le flux de dépenses s’est élevé à plus de 14 milliards de $ en 2015. Au cours de la période, la valeur cumulée de toutes les transactions s’élevait à 46 milliards de $.</w:t>
      </w:r>
    </w:p>
    <w:p w:rsidR="00D136A6" w:rsidRPr="00D136A6" w:rsidRDefault="00D136A6" w:rsidP="00D136A6">
      <w:pPr>
        <w:spacing w:line="360" w:lineRule="auto"/>
        <w:jc w:val="both"/>
        <w:rPr>
          <w:rFonts w:asciiTheme="minorHAnsi" w:hAnsiTheme="minorHAnsi"/>
          <w:sz w:val="24"/>
          <w:szCs w:val="24"/>
        </w:rPr>
      </w:pPr>
      <w:r w:rsidRPr="00D136A6">
        <w:rPr>
          <w:rFonts w:asciiTheme="minorHAnsi" w:hAnsiTheme="minorHAnsi"/>
          <w:sz w:val="24"/>
          <w:szCs w:val="24"/>
        </w:rPr>
        <w:tab/>
        <w:t>Toujours selon cette étude, le cœur de l’Europe (UE-15) demeure la principale cible. Plus de 50% des IDE cumulés sont allés vers la Grande Bretagne, l’Allemagne, la France au cours de la période 2000-2014. Récemment, les IDE se sont diversifiés géographiquement, notamment en direction des PIGS (Portugal, Italie, Grèce, Espagne</w:t>
      </w:r>
      <w:r w:rsidRPr="00D136A6">
        <w:rPr>
          <w:rStyle w:val="Appelnotedebasdep1"/>
          <w:rFonts w:asciiTheme="minorHAnsi" w:hAnsiTheme="minorHAnsi"/>
          <w:sz w:val="24"/>
          <w:szCs w:val="24"/>
        </w:rPr>
        <w:t>)</w:t>
      </w:r>
      <w:r w:rsidRPr="00D136A6">
        <w:rPr>
          <w:rFonts w:asciiTheme="minorHAnsi" w:hAnsiTheme="minorHAnsi"/>
          <w:sz w:val="24"/>
          <w:szCs w:val="24"/>
        </w:rPr>
        <w:t xml:space="preserve">, passant de 10% avant 2011 à plus de 30% entre 2012-2014, les firmes chinoises prenant avantage des possibilités d’entrer dans des secteurs jusque-là contrôlés par l’Etat notamment dans le secteur des services publics, des transports. Les NEM ont graduellement accru leur part d’IDE notamment dans les secteurs manufacturiers, agricole, les infrastructures recevant au total 8% des investissements dans la région. La diversification des IDE chinois dans cette partie d’Europe l’ s’affirme même si les principaux récipiendaires restent en volume les économies les plus développées et les plus importantes de la région. On constate une forte asymétrie concernant les implantations : en nombre ce sont les NEM et l’Europe du Sud Est (y compris les Balkans) qui reçoivent le plus d’investisseurs chinois (figure 5) en raison d’avantages spécifiques et de niveaux de risques différents (tableau 5). </w:t>
      </w:r>
    </w:p>
    <w:p w:rsidR="00D136A6" w:rsidRPr="00D136A6" w:rsidRDefault="00D136A6" w:rsidP="00D136A6">
      <w:pPr>
        <w:spacing w:line="360" w:lineRule="auto"/>
        <w:jc w:val="both"/>
        <w:rPr>
          <w:rFonts w:asciiTheme="minorHAnsi" w:hAnsiTheme="minorHAnsi"/>
          <w:sz w:val="24"/>
          <w:szCs w:val="24"/>
        </w:rPr>
      </w:pPr>
      <w:r w:rsidRPr="00D136A6">
        <w:rPr>
          <w:rFonts w:asciiTheme="minorHAnsi" w:hAnsiTheme="minorHAnsi"/>
          <w:sz w:val="24"/>
          <w:szCs w:val="24"/>
        </w:rPr>
        <w:tab/>
        <w:t>Finalement les IDE chinois se dirigent en priorité vers l’énergie et le secteur manufacturier avancé. On trouve plus de 13 milliards de $ investis dans les services publics, dans les combustibles fossiles, l’énergie renouvelable. Le secteur manufacturier avancé, incluant l’automobile (6 milliards de $), la machinerie (4 milliards de $), les télécommunications (3 milliards de $) constitue le second secteur suivi par celui des services notamment les transports (2 milliards de $) puis les secteurs à  haute valeur ajoutée tels que les biotechnologies et la finance (3 milliards de $). Plus récemment, les sociétés chinoises ont investi dans dans l’agriculture et l’agro-alimentaire (5 milliards de $) et l’immobilier commercial (5 milliards de $).</w:t>
      </w:r>
    </w:p>
    <w:p w:rsidR="00D136A6" w:rsidRPr="00D136A6" w:rsidRDefault="00D136A6" w:rsidP="00D136A6">
      <w:pPr>
        <w:spacing w:line="360" w:lineRule="auto"/>
        <w:jc w:val="both"/>
        <w:rPr>
          <w:rFonts w:asciiTheme="minorHAnsi" w:hAnsiTheme="minorHAnsi"/>
          <w:color w:val="1C1C1C"/>
          <w:sz w:val="24"/>
          <w:szCs w:val="24"/>
        </w:rPr>
      </w:pPr>
      <w:r w:rsidRPr="00D136A6">
        <w:rPr>
          <w:rFonts w:asciiTheme="minorHAnsi" w:hAnsiTheme="minorHAnsi"/>
          <w:sz w:val="24"/>
          <w:szCs w:val="24"/>
        </w:rPr>
        <w:tab/>
        <w:t xml:space="preserve">La législation concernant les investissements étrangers chinois n’est pas encore unifiée au niveau des 28 permettant aux investisseurs d’en tirer des avantages en termes de mode d’entrée, de fiscalité, de protection. Parallèlement, aux Etats-Unis, autre destination privilégiée des IDE chinois, la législation est devenue plus contraignante notamment pour ce qui concerne les fusions-acquisitions d’actifs stratégiques. </w:t>
      </w:r>
    </w:p>
    <w:p w:rsidR="00D136A6" w:rsidRPr="00D136A6" w:rsidRDefault="00D136A6" w:rsidP="00D136A6">
      <w:pPr>
        <w:spacing w:line="360" w:lineRule="auto"/>
        <w:jc w:val="both"/>
        <w:rPr>
          <w:rFonts w:asciiTheme="minorHAnsi" w:hAnsiTheme="minorHAnsi"/>
          <w:sz w:val="24"/>
          <w:szCs w:val="24"/>
        </w:rPr>
      </w:pPr>
      <w:r w:rsidRPr="00D136A6">
        <w:rPr>
          <w:rFonts w:asciiTheme="minorHAnsi" w:hAnsiTheme="minorHAnsi"/>
          <w:color w:val="1C1C1C"/>
          <w:sz w:val="24"/>
          <w:szCs w:val="24"/>
        </w:rPr>
        <w:tab/>
        <w:t xml:space="preserve">Dans leur ouvrage </w:t>
      </w:r>
      <w:r w:rsidRPr="00D136A6">
        <w:rPr>
          <w:rFonts w:asciiTheme="minorHAnsi" w:hAnsiTheme="minorHAnsi"/>
          <w:i/>
          <w:color w:val="1C1C1C"/>
          <w:sz w:val="24"/>
          <w:szCs w:val="24"/>
        </w:rPr>
        <w:t>L’Offensive chinoise en Europe</w:t>
      </w:r>
      <w:r w:rsidRPr="00D136A6">
        <w:rPr>
          <w:rFonts w:asciiTheme="minorHAnsi" w:hAnsiTheme="minorHAnsi"/>
          <w:color w:val="1C1C1C"/>
          <w:sz w:val="24"/>
          <w:szCs w:val="24"/>
        </w:rPr>
        <w:t>, de Philippe Le Corre et Alain Sepulchre</w:t>
      </w:r>
      <w:r w:rsidRPr="00D136A6">
        <w:rPr>
          <w:rStyle w:val="Appelnotedebasdep1"/>
          <w:rFonts w:asciiTheme="minorHAnsi" w:hAnsiTheme="minorHAnsi"/>
          <w:color w:val="1C1C1C"/>
          <w:sz w:val="24"/>
          <w:szCs w:val="24"/>
        </w:rPr>
        <w:footnoteReference w:id="35"/>
      </w:r>
      <w:r w:rsidRPr="00D136A6">
        <w:rPr>
          <w:rFonts w:asciiTheme="minorHAnsi" w:hAnsiTheme="minorHAnsi"/>
          <w:color w:val="1C1C1C"/>
          <w:sz w:val="24"/>
          <w:szCs w:val="24"/>
        </w:rPr>
        <w:t xml:space="preserve">présentent la stratégie d’internationalisation des firmes chinoises en direction des économies développées européennes en analysant les moteurs, les moyens, les modes d’entrée de ces firmes, le financement des acquisitions, leur intégration dans le fonctionnement des firmes d’origine. </w:t>
      </w:r>
    </w:p>
    <w:p w:rsidR="00D136A6" w:rsidRPr="00D136A6" w:rsidRDefault="00D136A6" w:rsidP="00D136A6">
      <w:pPr>
        <w:spacing w:line="360" w:lineRule="auto"/>
        <w:jc w:val="both"/>
        <w:rPr>
          <w:rFonts w:asciiTheme="minorHAnsi" w:hAnsiTheme="minorHAnsi"/>
          <w:sz w:val="24"/>
          <w:szCs w:val="24"/>
        </w:rPr>
      </w:pPr>
    </w:p>
    <w:p w:rsidR="00D136A6" w:rsidRPr="00D136A6" w:rsidRDefault="00D136A6" w:rsidP="00D136A6">
      <w:pPr>
        <w:spacing w:line="360" w:lineRule="auto"/>
        <w:rPr>
          <w:rFonts w:asciiTheme="minorHAnsi" w:hAnsiTheme="minorHAnsi"/>
          <w:sz w:val="24"/>
          <w:szCs w:val="24"/>
        </w:rPr>
      </w:pPr>
      <w:r w:rsidRPr="00D136A6">
        <w:rPr>
          <w:rFonts w:asciiTheme="minorHAnsi" w:hAnsiTheme="minorHAnsi"/>
          <w:b/>
          <w:sz w:val="24"/>
          <w:szCs w:val="24"/>
        </w:rPr>
        <w:t>Figure 5: Distribution spatiale en capital investi et par nombre d’implantations</w:t>
      </w:r>
    </w:p>
    <w:p w:rsidR="00D136A6" w:rsidRPr="00D136A6" w:rsidRDefault="00D136A6" w:rsidP="00D136A6">
      <w:pPr>
        <w:spacing w:line="360" w:lineRule="auto"/>
        <w:rPr>
          <w:rFonts w:asciiTheme="minorHAnsi" w:hAnsiTheme="minorHAnsi"/>
          <w:sz w:val="24"/>
          <w:szCs w:val="24"/>
        </w:rPr>
      </w:pPr>
    </w:p>
    <w:tbl>
      <w:tblPr>
        <w:tblW w:w="0" w:type="auto"/>
        <w:tblInd w:w="-40" w:type="dxa"/>
        <w:tblLayout w:type="fixed"/>
        <w:tblLook w:val="0000"/>
      </w:tblPr>
      <w:tblGrid>
        <w:gridCol w:w="4990"/>
        <w:gridCol w:w="4145"/>
      </w:tblGrid>
      <w:tr w:rsidR="00D136A6" w:rsidRPr="00D136A6">
        <w:tc>
          <w:tcPr>
            <w:tcW w:w="4990" w:type="dxa"/>
            <w:tcBorders>
              <w:top w:val="single" w:sz="4" w:space="0" w:color="000000"/>
              <w:left w:val="single" w:sz="4" w:space="0" w:color="000000"/>
              <w:bottom w:val="single" w:sz="4" w:space="0" w:color="000000"/>
            </w:tcBorders>
            <w:shd w:val="clear" w:color="auto" w:fill="auto"/>
          </w:tcPr>
          <w:p w:rsidR="00D136A6" w:rsidRPr="00D136A6" w:rsidRDefault="00D136A6" w:rsidP="0066667A">
            <w:pPr>
              <w:spacing w:line="360" w:lineRule="auto"/>
              <w:rPr>
                <w:rFonts w:asciiTheme="minorHAnsi" w:hAnsiTheme="minorHAnsi"/>
                <w:sz w:val="24"/>
                <w:szCs w:val="24"/>
              </w:rPr>
            </w:pPr>
            <w:r w:rsidRPr="00D136A6">
              <w:rPr>
                <w:rFonts w:asciiTheme="minorHAnsi" w:hAnsiTheme="minorHAnsi"/>
                <w:sz w:val="24"/>
                <w:szCs w:val="24"/>
              </w:rPr>
              <w:t>Capital investi</w:t>
            </w:r>
          </w:p>
        </w:tc>
        <w:tc>
          <w:tcPr>
            <w:tcW w:w="4145" w:type="dxa"/>
            <w:tcBorders>
              <w:top w:val="single" w:sz="4" w:space="0" w:color="000000"/>
              <w:left w:val="single" w:sz="4" w:space="0" w:color="000000"/>
              <w:bottom w:val="single" w:sz="4" w:space="0" w:color="000000"/>
              <w:right w:val="single" w:sz="4" w:space="0" w:color="000000"/>
            </w:tcBorders>
            <w:shd w:val="clear" w:color="auto" w:fill="auto"/>
          </w:tcPr>
          <w:p w:rsidR="00D136A6" w:rsidRPr="00D136A6" w:rsidRDefault="00D136A6" w:rsidP="0066667A">
            <w:pPr>
              <w:spacing w:line="360" w:lineRule="auto"/>
              <w:rPr>
                <w:rFonts w:asciiTheme="minorHAnsi" w:hAnsiTheme="minorHAnsi"/>
              </w:rPr>
            </w:pPr>
            <w:r w:rsidRPr="00D136A6">
              <w:rPr>
                <w:rFonts w:asciiTheme="minorHAnsi" w:hAnsiTheme="minorHAnsi"/>
                <w:sz w:val="24"/>
                <w:szCs w:val="24"/>
              </w:rPr>
              <w:t>Nombre d’implantations</w:t>
            </w:r>
          </w:p>
        </w:tc>
      </w:tr>
      <w:tr w:rsidR="00D136A6" w:rsidRPr="00D136A6">
        <w:tc>
          <w:tcPr>
            <w:tcW w:w="4990" w:type="dxa"/>
            <w:tcBorders>
              <w:top w:val="single" w:sz="4" w:space="0" w:color="000000"/>
              <w:left w:val="single" w:sz="4" w:space="0" w:color="000000"/>
              <w:bottom w:val="single" w:sz="4" w:space="0" w:color="000000"/>
            </w:tcBorders>
            <w:shd w:val="clear" w:color="auto" w:fill="auto"/>
          </w:tcPr>
          <w:p w:rsidR="00D136A6" w:rsidRPr="00D136A6" w:rsidRDefault="00D136A6" w:rsidP="0066667A">
            <w:pPr>
              <w:spacing w:line="360" w:lineRule="auto"/>
              <w:rPr>
                <w:rFonts w:asciiTheme="minorHAnsi" w:hAnsiTheme="minorHAnsi"/>
              </w:rPr>
            </w:pPr>
            <w:r w:rsidRPr="00D136A6">
              <w:rPr>
                <w:rFonts w:asciiTheme="minorHAnsi" w:hAnsiTheme="minorHAnsi"/>
                <w:noProof/>
                <w:sz w:val="24"/>
                <w:szCs w:val="24"/>
              </w:rPr>
              <w:drawing>
                <wp:inline distT="0" distB="0" distL="0" distR="0">
                  <wp:extent cx="3183255" cy="1845945"/>
                  <wp:effectExtent l="0" t="0" r="0" b="825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183255" cy="1845945"/>
                          </a:xfrm>
                          <a:prstGeom prst="rect">
                            <a:avLst/>
                          </a:prstGeom>
                          <a:solidFill>
                            <a:srgbClr val="FFFFFF"/>
                          </a:solidFill>
                          <a:ln>
                            <a:noFill/>
                          </a:ln>
                        </pic:spPr>
                      </pic:pic>
                    </a:graphicData>
                  </a:graphic>
                </wp:inline>
              </w:drawing>
            </w:r>
          </w:p>
        </w:tc>
        <w:tc>
          <w:tcPr>
            <w:tcW w:w="4145" w:type="dxa"/>
            <w:tcBorders>
              <w:top w:val="single" w:sz="4" w:space="0" w:color="000000"/>
              <w:left w:val="single" w:sz="4" w:space="0" w:color="000000"/>
              <w:bottom w:val="single" w:sz="4" w:space="0" w:color="000000"/>
              <w:right w:val="single" w:sz="4" w:space="0" w:color="000000"/>
            </w:tcBorders>
            <w:shd w:val="clear" w:color="auto" w:fill="auto"/>
          </w:tcPr>
          <w:p w:rsidR="00D136A6" w:rsidRPr="00D136A6" w:rsidRDefault="00D136A6" w:rsidP="0066667A">
            <w:pPr>
              <w:spacing w:line="360" w:lineRule="auto"/>
              <w:rPr>
                <w:rFonts w:asciiTheme="minorHAnsi" w:hAnsiTheme="minorHAnsi"/>
              </w:rPr>
            </w:pPr>
            <w:r w:rsidRPr="00D136A6">
              <w:rPr>
                <w:rFonts w:asciiTheme="minorHAnsi" w:hAnsiTheme="minorHAnsi"/>
                <w:noProof/>
                <w:sz w:val="24"/>
                <w:szCs w:val="24"/>
              </w:rPr>
              <w:drawing>
                <wp:inline distT="0" distB="0" distL="0" distR="0">
                  <wp:extent cx="2557145" cy="1760855"/>
                  <wp:effectExtent l="0" t="0" r="825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557145" cy="1760855"/>
                          </a:xfrm>
                          <a:prstGeom prst="rect">
                            <a:avLst/>
                          </a:prstGeom>
                          <a:solidFill>
                            <a:srgbClr val="FFFFFF"/>
                          </a:solidFill>
                          <a:ln>
                            <a:noFill/>
                          </a:ln>
                        </pic:spPr>
                      </pic:pic>
                    </a:graphicData>
                  </a:graphic>
                </wp:inline>
              </w:drawing>
            </w:r>
          </w:p>
        </w:tc>
      </w:tr>
    </w:tbl>
    <w:p w:rsidR="00D136A6" w:rsidRPr="00D136A6" w:rsidRDefault="00D136A6" w:rsidP="00D136A6">
      <w:pPr>
        <w:spacing w:line="360" w:lineRule="auto"/>
        <w:jc w:val="both"/>
        <w:rPr>
          <w:rFonts w:asciiTheme="minorHAnsi" w:hAnsiTheme="minorHAnsi"/>
          <w:b/>
          <w:sz w:val="24"/>
          <w:szCs w:val="24"/>
        </w:rPr>
      </w:pPr>
      <w:r w:rsidRPr="00D136A6">
        <w:rPr>
          <w:rFonts w:asciiTheme="minorHAnsi" w:hAnsiTheme="minorHAnsi"/>
          <w:sz w:val="24"/>
          <w:szCs w:val="24"/>
        </w:rPr>
        <w:t>Source : Antwerp Management School (2014</w:t>
      </w:r>
      <w:r w:rsidRPr="00D136A6">
        <w:rPr>
          <w:rStyle w:val="Appelnotedebasdep1"/>
          <w:rFonts w:asciiTheme="minorHAnsi" w:hAnsiTheme="minorHAnsi"/>
          <w:sz w:val="24"/>
          <w:szCs w:val="24"/>
        </w:rPr>
        <w:footnoteReference w:id="36"/>
      </w:r>
      <w:r w:rsidRPr="00D136A6">
        <w:rPr>
          <w:rFonts w:asciiTheme="minorHAnsi" w:hAnsiTheme="minorHAnsi"/>
          <w:sz w:val="24"/>
          <w:szCs w:val="24"/>
        </w:rPr>
        <w:t>)</w:t>
      </w:r>
    </w:p>
    <w:p w:rsidR="00D136A6" w:rsidRPr="00D136A6" w:rsidRDefault="00D136A6" w:rsidP="00D136A6">
      <w:pPr>
        <w:spacing w:line="360" w:lineRule="auto"/>
        <w:jc w:val="both"/>
        <w:rPr>
          <w:rFonts w:asciiTheme="minorHAnsi" w:hAnsiTheme="minorHAnsi"/>
          <w:b/>
          <w:sz w:val="24"/>
          <w:szCs w:val="24"/>
        </w:rPr>
      </w:pPr>
    </w:p>
    <w:p w:rsidR="00D136A6" w:rsidRDefault="00D136A6" w:rsidP="00A3648B">
      <w:pPr>
        <w:spacing w:line="360" w:lineRule="auto"/>
        <w:ind w:firstLine="708"/>
        <w:jc w:val="both"/>
        <w:rPr>
          <w:rFonts w:asciiTheme="minorHAnsi" w:hAnsiTheme="minorHAnsi"/>
          <w:color w:val="1C1C1C"/>
          <w:sz w:val="24"/>
          <w:szCs w:val="24"/>
        </w:rPr>
      </w:pPr>
      <w:r w:rsidRPr="00D136A6">
        <w:rPr>
          <w:rFonts w:asciiTheme="minorHAnsi" w:hAnsiTheme="minorHAnsi"/>
          <w:color w:val="1C1C1C"/>
          <w:sz w:val="24"/>
          <w:szCs w:val="24"/>
        </w:rPr>
        <w:t>La crise financière a réduit la valeur de nombreux actifs</w:t>
      </w:r>
      <w:r w:rsidRPr="00D136A6">
        <w:rPr>
          <w:rStyle w:val="Appelnotedebasdep1"/>
          <w:rFonts w:asciiTheme="minorHAnsi" w:hAnsiTheme="minorHAnsi"/>
          <w:sz w:val="24"/>
          <w:szCs w:val="24"/>
        </w:rPr>
        <w:footnoteReference w:id="37"/>
      </w:r>
      <w:r w:rsidRPr="00D136A6">
        <w:rPr>
          <w:rFonts w:asciiTheme="minorHAnsi" w:hAnsiTheme="minorHAnsi"/>
          <w:color w:val="1C1C1C"/>
          <w:sz w:val="24"/>
          <w:szCs w:val="24"/>
        </w:rPr>
        <w:t xml:space="preserve"> à vendre et donc facilité la prise de contrôle de firmes dans toute une série de secteurs. La recherche d’actifs technologiques via l’achat d’entreprises de grande taille (Geely/Volvo) ou plus modestes attire une partie des investissements, les autres s’éparpillent dans toute une série de secteurs: immobilier, infrastructures, loisirs, finance avec des logiques financières et industrielles diverses. Le rachat de Volvo par Geely, par exemple, cherche à renforcer le poids d’un outsider chinois sur le marché domestique en « sinisant » certains modèles, en cherchant à entrer sur le marché premium (haut de gamme) en Chine pour concurrencer des firmes présentes comme Mercédes et BMW. Ce n’est qu’accessoirement que la firme se sert de cette acquisition pour entrer sur des marchés tiers (Ukraine, Biélorussie) où elle assemble et vend prioritairement des modèles 100% chinois d’entrée de gamme.</w:t>
      </w:r>
    </w:p>
    <w:p w:rsidR="00A3648B" w:rsidRDefault="00A3648B" w:rsidP="00A3648B">
      <w:pPr>
        <w:spacing w:line="360" w:lineRule="auto"/>
        <w:ind w:firstLine="708"/>
        <w:jc w:val="both"/>
        <w:rPr>
          <w:rFonts w:asciiTheme="minorHAnsi" w:hAnsiTheme="minorHAnsi"/>
          <w:color w:val="1C1C1C"/>
          <w:sz w:val="24"/>
          <w:szCs w:val="24"/>
        </w:rPr>
      </w:pPr>
    </w:p>
    <w:p w:rsidR="00A3648B" w:rsidRPr="00D136A6" w:rsidRDefault="00A3648B" w:rsidP="00A3648B">
      <w:pPr>
        <w:spacing w:line="360" w:lineRule="auto"/>
        <w:jc w:val="both"/>
        <w:rPr>
          <w:rFonts w:asciiTheme="minorHAnsi" w:hAnsiTheme="minorHAnsi"/>
          <w:b/>
          <w:sz w:val="24"/>
          <w:szCs w:val="24"/>
        </w:rPr>
      </w:pPr>
      <w:r w:rsidRPr="00D136A6">
        <w:rPr>
          <w:rFonts w:asciiTheme="minorHAnsi" w:hAnsiTheme="minorHAnsi"/>
          <w:b/>
          <w:sz w:val="24"/>
          <w:szCs w:val="24"/>
        </w:rPr>
        <w:t>Tableau 5 : Attractivités comparées EU-15, Nouveaux Etats Membres, Balkans</w:t>
      </w:r>
    </w:p>
    <w:p w:rsidR="00A3648B" w:rsidRPr="00D136A6" w:rsidRDefault="00A3648B" w:rsidP="00A3648B">
      <w:pPr>
        <w:spacing w:line="360" w:lineRule="auto"/>
        <w:jc w:val="both"/>
        <w:rPr>
          <w:rFonts w:asciiTheme="minorHAnsi" w:hAnsiTheme="minorHAnsi"/>
          <w:b/>
          <w:sz w:val="24"/>
          <w:szCs w:val="24"/>
        </w:rPr>
      </w:pPr>
    </w:p>
    <w:tbl>
      <w:tblPr>
        <w:tblW w:w="0" w:type="auto"/>
        <w:tblInd w:w="-246" w:type="dxa"/>
        <w:tblLayout w:type="fixed"/>
        <w:tblCellMar>
          <w:left w:w="0" w:type="dxa"/>
          <w:right w:w="0" w:type="dxa"/>
        </w:tblCellMar>
        <w:tblLook w:val="0000"/>
      </w:tblPr>
      <w:tblGrid>
        <w:gridCol w:w="4528"/>
        <w:gridCol w:w="9"/>
        <w:gridCol w:w="4528"/>
        <w:gridCol w:w="40"/>
        <w:gridCol w:w="30"/>
      </w:tblGrid>
      <w:tr w:rsidR="00A3648B" w:rsidRPr="00D136A6">
        <w:trPr>
          <w:gridAfter w:val="1"/>
          <w:wAfter w:w="30" w:type="dxa"/>
        </w:trPr>
        <w:tc>
          <w:tcPr>
            <w:tcW w:w="4537" w:type="dxa"/>
            <w:gridSpan w:val="2"/>
            <w:tcBorders>
              <w:top w:val="single" w:sz="4" w:space="0" w:color="000000"/>
              <w:left w:val="single" w:sz="4" w:space="0" w:color="000000"/>
              <w:bottom w:val="single" w:sz="4" w:space="0" w:color="000000"/>
            </w:tcBorders>
            <w:shd w:val="clear" w:color="auto" w:fill="auto"/>
          </w:tcPr>
          <w:p w:rsidR="00A3648B" w:rsidRPr="00D136A6" w:rsidRDefault="00A3648B" w:rsidP="0066667A">
            <w:pPr>
              <w:jc w:val="center"/>
              <w:rPr>
                <w:rFonts w:asciiTheme="minorHAnsi" w:hAnsiTheme="minorHAnsi"/>
                <w:sz w:val="24"/>
                <w:szCs w:val="24"/>
              </w:rPr>
            </w:pPr>
            <w:r w:rsidRPr="00D136A6">
              <w:rPr>
                <w:rFonts w:asciiTheme="minorHAnsi" w:hAnsiTheme="minorHAnsi"/>
                <w:b/>
                <w:sz w:val="24"/>
                <w:szCs w:val="24"/>
              </w:rPr>
              <w:t>Pays récepteurs Europe de l’Est, Balkans</w:t>
            </w:r>
          </w:p>
        </w:tc>
        <w:tc>
          <w:tcPr>
            <w:tcW w:w="4528" w:type="dxa"/>
            <w:tcBorders>
              <w:left w:val="single" w:sz="4" w:space="0" w:color="000000"/>
            </w:tcBorders>
            <w:shd w:val="clear" w:color="auto" w:fill="auto"/>
          </w:tcPr>
          <w:p w:rsidR="00A3648B" w:rsidRPr="00D136A6" w:rsidRDefault="00A3648B" w:rsidP="0066667A">
            <w:pPr>
              <w:snapToGrid w:val="0"/>
              <w:rPr>
                <w:rFonts w:asciiTheme="minorHAnsi" w:hAnsiTheme="minorHAnsi"/>
                <w:sz w:val="24"/>
                <w:szCs w:val="24"/>
              </w:rPr>
            </w:pPr>
          </w:p>
        </w:tc>
        <w:tc>
          <w:tcPr>
            <w:tcW w:w="40" w:type="dxa"/>
            <w:shd w:val="clear" w:color="auto" w:fill="auto"/>
          </w:tcPr>
          <w:p w:rsidR="00A3648B" w:rsidRPr="00D136A6" w:rsidRDefault="00A3648B" w:rsidP="0066667A">
            <w:pPr>
              <w:snapToGrid w:val="0"/>
              <w:rPr>
                <w:rFonts w:asciiTheme="minorHAnsi" w:hAnsiTheme="minorHAnsi"/>
              </w:rPr>
            </w:pPr>
          </w:p>
        </w:tc>
      </w:tr>
      <w:tr w:rsidR="00A3648B" w:rsidRPr="00D136A6">
        <w:tblPrEx>
          <w:tblCellMar>
            <w:left w:w="108" w:type="dxa"/>
            <w:right w:w="108" w:type="dxa"/>
          </w:tblCellMar>
        </w:tblPrEx>
        <w:tc>
          <w:tcPr>
            <w:tcW w:w="4528" w:type="dxa"/>
            <w:tcBorders>
              <w:top w:val="single" w:sz="4" w:space="0" w:color="000000"/>
              <w:left w:val="single" w:sz="4" w:space="0" w:color="000000"/>
              <w:bottom w:val="single" w:sz="4" w:space="0" w:color="000000"/>
            </w:tcBorders>
            <w:shd w:val="clear" w:color="auto" w:fill="auto"/>
          </w:tcPr>
          <w:p w:rsidR="00A3648B" w:rsidRPr="00D136A6" w:rsidRDefault="00A3648B" w:rsidP="0066667A">
            <w:pPr>
              <w:jc w:val="center"/>
              <w:rPr>
                <w:rFonts w:asciiTheme="minorHAnsi" w:hAnsiTheme="minorHAnsi"/>
                <w:sz w:val="24"/>
                <w:szCs w:val="24"/>
              </w:rPr>
            </w:pPr>
            <w:r w:rsidRPr="00D136A6">
              <w:rPr>
                <w:rFonts w:asciiTheme="minorHAnsi" w:hAnsiTheme="minorHAnsi"/>
                <w:sz w:val="24"/>
                <w:szCs w:val="24"/>
              </w:rPr>
              <w:t xml:space="preserve">Avantages  </w:t>
            </w:r>
          </w:p>
        </w:tc>
        <w:tc>
          <w:tcPr>
            <w:tcW w:w="4607" w:type="dxa"/>
            <w:gridSpan w:val="4"/>
            <w:tcBorders>
              <w:top w:val="single" w:sz="4" w:space="0" w:color="000000"/>
              <w:left w:val="single" w:sz="4" w:space="0" w:color="000000"/>
              <w:bottom w:val="single" w:sz="4" w:space="0" w:color="000000"/>
              <w:right w:val="single" w:sz="4" w:space="0" w:color="000000"/>
            </w:tcBorders>
            <w:shd w:val="clear" w:color="auto" w:fill="auto"/>
          </w:tcPr>
          <w:p w:rsidR="00A3648B" w:rsidRPr="00D136A6" w:rsidRDefault="00A3648B" w:rsidP="0066667A">
            <w:pPr>
              <w:jc w:val="center"/>
              <w:rPr>
                <w:rFonts w:asciiTheme="minorHAnsi" w:hAnsiTheme="minorHAnsi"/>
              </w:rPr>
            </w:pPr>
            <w:r w:rsidRPr="00D136A6">
              <w:rPr>
                <w:rFonts w:asciiTheme="minorHAnsi" w:hAnsiTheme="minorHAnsi"/>
                <w:sz w:val="24"/>
                <w:szCs w:val="24"/>
              </w:rPr>
              <w:t>Désavantages</w:t>
            </w:r>
          </w:p>
        </w:tc>
      </w:tr>
      <w:tr w:rsidR="00A3648B" w:rsidRPr="00D136A6">
        <w:tblPrEx>
          <w:tblCellMar>
            <w:left w:w="108" w:type="dxa"/>
            <w:right w:w="108" w:type="dxa"/>
          </w:tblCellMar>
        </w:tblPrEx>
        <w:tc>
          <w:tcPr>
            <w:tcW w:w="4528" w:type="dxa"/>
            <w:tcBorders>
              <w:top w:val="single" w:sz="4" w:space="0" w:color="000000"/>
              <w:left w:val="single" w:sz="4" w:space="0" w:color="000000"/>
              <w:bottom w:val="single" w:sz="4" w:space="0" w:color="000000"/>
            </w:tcBorders>
            <w:shd w:val="clear" w:color="auto" w:fill="auto"/>
          </w:tcPr>
          <w:p w:rsidR="00A3648B" w:rsidRPr="00D136A6" w:rsidRDefault="00A3648B" w:rsidP="0066667A">
            <w:pPr>
              <w:rPr>
                <w:rFonts w:asciiTheme="minorHAnsi" w:hAnsiTheme="minorHAnsi"/>
                <w:sz w:val="24"/>
                <w:szCs w:val="24"/>
              </w:rPr>
            </w:pPr>
            <w:r w:rsidRPr="00D136A6">
              <w:rPr>
                <w:rFonts w:asciiTheme="minorHAnsi" w:hAnsiTheme="minorHAnsi"/>
                <w:sz w:val="24"/>
                <w:szCs w:val="24"/>
              </w:rPr>
              <w:t>Complément aux IDE venant de l’UE-15</w:t>
            </w:r>
          </w:p>
          <w:p w:rsidR="00A3648B" w:rsidRPr="00D136A6" w:rsidRDefault="00A3648B" w:rsidP="0066667A">
            <w:pPr>
              <w:rPr>
                <w:rFonts w:asciiTheme="minorHAnsi" w:hAnsiTheme="minorHAnsi"/>
                <w:sz w:val="24"/>
                <w:szCs w:val="24"/>
              </w:rPr>
            </w:pPr>
            <w:r w:rsidRPr="00D136A6">
              <w:rPr>
                <w:rFonts w:asciiTheme="minorHAnsi" w:hAnsiTheme="minorHAnsi"/>
                <w:sz w:val="24"/>
                <w:szCs w:val="24"/>
              </w:rPr>
              <w:t>Diversification</w:t>
            </w:r>
          </w:p>
          <w:p w:rsidR="00A3648B" w:rsidRPr="00D136A6" w:rsidRDefault="00A3648B" w:rsidP="0066667A">
            <w:pPr>
              <w:rPr>
                <w:rFonts w:asciiTheme="minorHAnsi" w:hAnsiTheme="minorHAnsi"/>
                <w:sz w:val="24"/>
                <w:szCs w:val="24"/>
              </w:rPr>
            </w:pPr>
            <w:r w:rsidRPr="00D136A6">
              <w:rPr>
                <w:rFonts w:asciiTheme="minorHAnsi" w:hAnsiTheme="minorHAnsi"/>
                <w:sz w:val="24"/>
                <w:szCs w:val="24"/>
              </w:rPr>
              <w:t>Apport de capital, de marchés, emplois</w:t>
            </w:r>
          </w:p>
          <w:p w:rsidR="00A3648B" w:rsidRPr="00D136A6" w:rsidRDefault="00A3648B" w:rsidP="0066667A">
            <w:pPr>
              <w:rPr>
                <w:rFonts w:asciiTheme="minorHAnsi" w:hAnsiTheme="minorHAnsi"/>
                <w:sz w:val="24"/>
                <w:szCs w:val="24"/>
              </w:rPr>
            </w:pPr>
            <w:r w:rsidRPr="00D136A6">
              <w:rPr>
                <w:rFonts w:asciiTheme="minorHAnsi" w:hAnsiTheme="minorHAnsi"/>
                <w:sz w:val="24"/>
                <w:szCs w:val="24"/>
              </w:rPr>
              <w:t>Renouveau du secteur industriel</w:t>
            </w:r>
          </w:p>
          <w:p w:rsidR="00A3648B" w:rsidRPr="00D136A6" w:rsidRDefault="00A3648B" w:rsidP="0066667A">
            <w:pPr>
              <w:rPr>
                <w:rFonts w:asciiTheme="minorHAnsi" w:hAnsiTheme="minorHAnsi"/>
                <w:sz w:val="24"/>
                <w:szCs w:val="24"/>
              </w:rPr>
            </w:pPr>
            <w:r w:rsidRPr="00D136A6">
              <w:rPr>
                <w:rFonts w:asciiTheme="minorHAnsi" w:hAnsiTheme="minorHAnsi"/>
                <w:sz w:val="24"/>
                <w:szCs w:val="24"/>
              </w:rPr>
              <w:t>Développement des exportations</w:t>
            </w:r>
          </w:p>
          <w:p w:rsidR="00A3648B" w:rsidRPr="00D136A6" w:rsidRDefault="00A3648B" w:rsidP="0066667A">
            <w:pPr>
              <w:rPr>
                <w:rFonts w:asciiTheme="minorHAnsi" w:hAnsiTheme="minorHAnsi"/>
                <w:sz w:val="24"/>
                <w:szCs w:val="24"/>
              </w:rPr>
            </w:pPr>
            <w:r w:rsidRPr="00D136A6">
              <w:rPr>
                <w:rFonts w:asciiTheme="minorHAnsi" w:hAnsiTheme="minorHAnsi"/>
                <w:sz w:val="24"/>
                <w:szCs w:val="24"/>
              </w:rPr>
              <w:t>Insertion dans chaînes de valeur chinoises</w:t>
            </w:r>
          </w:p>
        </w:tc>
        <w:tc>
          <w:tcPr>
            <w:tcW w:w="4607" w:type="dxa"/>
            <w:gridSpan w:val="4"/>
            <w:tcBorders>
              <w:top w:val="single" w:sz="4" w:space="0" w:color="000000"/>
              <w:left w:val="single" w:sz="4" w:space="0" w:color="000000"/>
              <w:bottom w:val="single" w:sz="4" w:space="0" w:color="000000"/>
              <w:right w:val="single" w:sz="4" w:space="0" w:color="000000"/>
            </w:tcBorders>
            <w:shd w:val="clear" w:color="auto" w:fill="auto"/>
          </w:tcPr>
          <w:p w:rsidR="00A3648B" w:rsidRPr="00D136A6" w:rsidRDefault="00A3648B" w:rsidP="0066667A">
            <w:pPr>
              <w:rPr>
                <w:rFonts w:asciiTheme="minorHAnsi" w:hAnsiTheme="minorHAnsi"/>
                <w:sz w:val="24"/>
                <w:szCs w:val="24"/>
              </w:rPr>
            </w:pPr>
            <w:r w:rsidRPr="00D136A6">
              <w:rPr>
                <w:rFonts w:asciiTheme="minorHAnsi" w:hAnsiTheme="minorHAnsi"/>
                <w:sz w:val="24"/>
                <w:szCs w:val="24"/>
              </w:rPr>
              <w:t>Contrôle externe accru (capitalisme dépendant)</w:t>
            </w:r>
          </w:p>
          <w:p w:rsidR="00A3648B" w:rsidRPr="00D136A6" w:rsidRDefault="00A3648B" w:rsidP="0066667A">
            <w:pPr>
              <w:rPr>
                <w:rFonts w:asciiTheme="minorHAnsi" w:hAnsiTheme="minorHAnsi"/>
                <w:sz w:val="24"/>
                <w:szCs w:val="24"/>
              </w:rPr>
            </w:pPr>
            <w:r w:rsidRPr="00D136A6">
              <w:rPr>
                <w:rFonts w:asciiTheme="minorHAnsi" w:hAnsiTheme="minorHAnsi"/>
                <w:sz w:val="24"/>
                <w:szCs w:val="24"/>
              </w:rPr>
              <w:t>Choc interculturel et communication</w:t>
            </w:r>
          </w:p>
          <w:p w:rsidR="00A3648B" w:rsidRPr="00D136A6" w:rsidRDefault="00A3648B" w:rsidP="0066667A">
            <w:pPr>
              <w:rPr>
                <w:rFonts w:asciiTheme="minorHAnsi" w:hAnsiTheme="minorHAnsi"/>
                <w:sz w:val="24"/>
                <w:szCs w:val="24"/>
              </w:rPr>
            </w:pPr>
            <w:r w:rsidRPr="00D136A6">
              <w:rPr>
                <w:rFonts w:asciiTheme="minorHAnsi" w:hAnsiTheme="minorHAnsi"/>
                <w:sz w:val="24"/>
                <w:szCs w:val="24"/>
              </w:rPr>
              <w:t>Eloignement des standards européens et de l’insertion dans la chaîne de valeur régionale</w:t>
            </w:r>
          </w:p>
          <w:p w:rsidR="00A3648B" w:rsidRPr="00D136A6" w:rsidRDefault="00A3648B" w:rsidP="0066667A">
            <w:pPr>
              <w:rPr>
                <w:rFonts w:asciiTheme="minorHAnsi" w:hAnsiTheme="minorHAnsi"/>
              </w:rPr>
            </w:pPr>
            <w:r w:rsidRPr="00D136A6">
              <w:rPr>
                <w:rFonts w:asciiTheme="minorHAnsi" w:hAnsiTheme="minorHAnsi"/>
                <w:sz w:val="24"/>
                <w:szCs w:val="24"/>
              </w:rPr>
              <w:t>Défiance vis )  vis- à- vis de l’UE</w:t>
            </w:r>
          </w:p>
        </w:tc>
      </w:tr>
      <w:tr w:rsidR="00A3648B" w:rsidRPr="00D136A6">
        <w:trPr>
          <w:gridAfter w:val="1"/>
          <w:wAfter w:w="30" w:type="dxa"/>
        </w:trPr>
        <w:tc>
          <w:tcPr>
            <w:tcW w:w="4537" w:type="dxa"/>
            <w:gridSpan w:val="2"/>
            <w:tcBorders>
              <w:top w:val="single" w:sz="4" w:space="0" w:color="000000"/>
              <w:left w:val="single" w:sz="4" w:space="0" w:color="000000"/>
              <w:bottom w:val="single" w:sz="4" w:space="0" w:color="000000"/>
            </w:tcBorders>
            <w:shd w:val="clear" w:color="auto" w:fill="auto"/>
          </w:tcPr>
          <w:p w:rsidR="00A3648B" w:rsidRPr="00D136A6" w:rsidRDefault="00A3648B" w:rsidP="0066667A">
            <w:pPr>
              <w:jc w:val="center"/>
              <w:rPr>
                <w:rFonts w:asciiTheme="minorHAnsi" w:hAnsiTheme="minorHAnsi"/>
                <w:sz w:val="24"/>
                <w:szCs w:val="24"/>
              </w:rPr>
            </w:pPr>
            <w:r w:rsidRPr="00D136A6">
              <w:rPr>
                <w:rFonts w:asciiTheme="minorHAnsi" w:hAnsiTheme="minorHAnsi"/>
                <w:b/>
                <w:sz w:val="24"/>
                <w:szCs w:val="24"/>
              </w:rPr>
              <w:t>Attente des firmes chinoises</w:t>
            </w:r>
          </w:p>
        </w:tc>
        <w:tc>
          <w:tcPr>
            <w:tcW w:w="4528" w:type="dxa"/>
            <w:tcBorders>
              <w:left w:val="single" w:sz="4" w:space="0" w:color="000000"/>
            </w:tcBorders>
            <w:shd w:val="clear" w:color="auto" w:fill="auto"/>
          </w:tcPr>
          <w:p w:rsidR="00A3648B" w:rsidRPr="00D136A6" w:rsidRDefault="00A3648B" w:rsidP="0066667A">
            <w:pPr>
              <w:snapToGrid w:val="0"/>
              <w:rPr>
                <w:rFonts w:asciiTheme="minorHAnsi" w:hAnsiTheme="minorHAnsi"/>
                <w:sz w:val="24"/>
                <w:szCs w:val="24"/>
              </w:rPr>
            </w:pPr>
          </w:p>
        </w:tc>
        <w:tc>
          <w:tcPr>
            <w:tcW w:w="40" w:type="dxa"/>
            <w:shd w:val="clear" w:color="auto" w:fill="auto"/>
          </w:tcPr>
          <w:p w:rsidR="00A3648B" w:rsidRPr="00D136A6" w:rsidRDefault="00A3648B" w:rsidP="0066667A">
            <w:pPr>
              <w:snapToGrid w:val="0"/>
              <w:rPr>
                <w:rFonts w:asciiTheme="minorHAnsi" w:hAnsiTheme="minorHAnsi"/>
              </w:rPr>
            </w:pPr>
          </w:p>
        </w:tc>
      </w:tr>
      <w:tr w:rsidR="00A3648B" w:rsidRPr="00D136A6">
        <w:tblPrEx>
          <w:tblCellMar>
            <w:left w:w="108" w:type="dxa"/>
            <w:right w:w="108" w:type="dxa"/>
          </w:tblCellMar>
        </w:tblPrEx>
        <w:tc>
          <w:tcPr>
            <w:tcW w:w="4528" w:type="dxa"/>
            <w:tcBorders>
              <w:top w:val="single" w:sz="4" w:space="0" w:color="000000"/>
              <w:left w:val="single" w:sz="4" w:space="0" w:color="000000"/>
              <w:bottom w:val="single" w:sz="4" w:space="0" w:color="000000"/>
            </w:tcBorders>
            <w:shd w:val="clear" w:color="auto" w:fill="auto"/>
          </w:tcPr>
          <w:p w:rsidR="00A3648B" w:rsidRPr="00D136A6" w:rsidRDefault="00A3648B" w:rsidP="0066667A">
            <w:pPr>
              <w:rPr>
                <w:rFonts w:asciiTheme="minorHAnsi" w:hAnsiTheme="minorHAnsi"/>
                <w:sz w:val="24"/>
                <w:szCs w:val="24"/>
              </w:rPr>
            </w:pPr>
            <w:r w:rsidRPr="00D136A6">
              <w:rPr>
                <w:rFonts w:asciiTheme="minorHAnsi" w:hAnsiTheme="minorHAnsi"/>
                <w:sz w:val="24"/>
                <w:szCs w:val="24"/>
              </w:rPr>
              <w:t>UE-15</w:t>
            </w:r>
          </w:p>
        </w:tc>
        <w:tc>
          <w:tcPr>
            <w:tcW w:w="4607" w:type="dxa"/>
            <w:gridSpan w:val="4"/>
            <w:tcBorders>
              <w:top w:val="single" w:sz="4" w:space="0" w:color="000000"/>
              <w:left w:val="single" w:sz="4" w:space="0" w:color="000000"/>
              <w:bottom w:val="single" w:sz="4" w:space="0" w:color="000000"/>
              <w:right w:val="single" w:sz="4" w:space="0" w:color="000000"/>
            </w:tcBorders>
            <w:shd w:val="clear" w:color="auto" w:fill="auto"/>
          </w:tcPr>
          <w:p w:rsidR="00A3648B" w:rsidRPr="00D136A6" w:rsidRDefault="00A3648B" w:rsidP="0066667A">
            <w:pPr>
              <w:rPr>
                <w:rFonts w:asciiTheme="minorHAnsi" w:hAnsiTheme="minorHAnsi"/>
              </w:rPr>
            </w:pPr>
            <w:r w:rsidRPr="00D136A6">
              <w:rPr>
                <w:rFonts w:asciiTheme="minorHAnsi" w:hAnsiTheme="minorHAnsi"/>
                <w:sz w:val="24"/>
                <w:szCs w:val="24"/>
              </w:rPr>
              <w:t>NEM + Balkans</w:t>
            </w:r>
          </w:p>
        </w:tc>
      </w:tr>
      <w:tr w:rsidR="00A3648B" w:rsidRPr="00D136A6">
        <w:tblPrEx>
          <w:tblCellMar>
            <w:left w:w="108" w:type="dxa"/>
            <w:right w:w="108" w:type="dxa"/>
          </w:tblCellMar>
        </w:tblPrEx>
        <w:tc>
          <w:tcPr>
            <w:tcW w:w="4528" w:type="dxa"/>
            <w:tcBorders>
              <w:top w:val="single" w:sz="4" w:space="0" w:color="000000"/>
              <w:left w:val="single" w:sz="4" w:space="0" w:color="000000"/>
              <w:bottom w:val="single" w:sz="4" w:space="0" w:color="000000"/>
            </w:tcBorders>
            <w:shd w:val="clear" w:color="auto" w:fill="auto"/>
          </w:tcPr>
          <w:p w:rsidR="00A3648B" w:rsidRPr="00D136A6" w:rsidRDefault="00A3648B" w:rsidP="0066667A">
            <w:pPr>
              <w:rPr>
                <w:rFonts w:asciiTheme="minorHAnsi" w:hAnsiTheme="minorHAnsi"/>
                <w:sz w:val="24"/>
                <w:szCs w:val="24"/>
              </w:rPr>
            </w:pPr>
            <w:r w:rsidRPr="00D136A6">
              <w:rPr>
                <w:rFonts w:asciiTheme="minorHAnsi" w:hAnsiTheme="minorHAnsi"/>
                <w:sz w:val="24"/>
                <w:szCs w:val="24"/>
              </w:rPr>
              <w:t>Marchés à hauts revenus</w:t>
            </w:r>
          </w:p>
          <w:p w:rsidR="00A3648B" w:rsidRPr="00D136A6" w:rsidRDefault="00A3648B" w:rsidP="0066667A">
            <w:pPr>
              <w:rPr>
                <w:rFonts w:asciiTheme="minorHAnsi" w:hAnsiTheme="minorHAnsi"/>
                <w:sz w:val="24"/>
                <w:szCs w:val="24"/>
              </w:rPr>
            </w:pPr>
            <w:r w:rsidRPr="00D136A6">
              <w:rPr>
                <w:rFonts w:asciiTheme="minorHAnsi" w:hAnsiTheme="minorHAnsi"/>
                <w:sz w:val="24"/>
                <w:szCs w:val="24"/>
              </w:rPr>
              <w:t>Opportunités d’accéder à des technologies</w:t>
            </w:r>
          </w:p>
          <w:p w:rsidR="00A3648B" w:rsidRPr="00D136A6" w:rsidRDefault="00A3648B" w:rsidP="0066667A">
            <w:pPr>
              <w:rPr>
                <w:rFonts w:asciiTheme="minorHAnsi" w:hAnsiTheme="minorHAnsi"/>
                <w:sz w:val="24"/>
                <w:szCs w:val="24"/>
              </w:rPr>
            </w:pPr>
            <w:r w:rsidRPr="00D136A6">
              <w:rPr>
                <w:rFonts w:asciiTheme="minorHAnsi" w:hAnsiTheme="minorHAnsi"/>
                <w:sz w:val="24"/>
                <w:szCs w:val="24"/>
              </w:rPr>
              <w:t>Baisse de l’€, hausse du RMB</w:t>
            </w:r>
          </w:p>
          <w:p w:rsidR="00A3648B" w:rsidRPr="00D136A6" w:rsidRDefault="00A3648B" w:rsidP="0066667A">
            <w:pPr>
              <w:rPr>
                <w:rFonts w:asciiTheme="minorHAnsi" w:hAnsiTheme="minorHAnsi"/>
                <w:sz w:val="24"/>
                <w:szCs w:val="24"/>
              </w:rPr>
            </w:pPr>
            <w:r w:rsidRPr="00D136A6">
              <w:rPr>
                <w:rFonts w:asciiTheme="minorHAnsi" w:hAnsiTheme="minorHAnsi"/>
                <w:sz w:val="24"/>
                <w:szCs w:val="24"/>
              </w:rPr>
              <w:t>Réglementation vis- à-vis des investissements chinois encore peu contraignante</w:t>
            </w:r>
          </w:p>
          <w:p w:rsidR="00A3648B" w:rsidRPr="00D136A6" w:rsidRDefault="00A3648B" w:rsidP="0066667A">
            <w:pPr>
              <w:rPr>
                <w:rFonts w:asciiTheme="minorHAnsi" w:hAnsiTheme="minorHAnsi"/>
                <w:sz w:val="24"/>
                <w:szCs w:val="24"/>
              </w:rPr>
            </w:pPr>
            <w:r w:rsidRPr="00D136A6">
              <w:rPr>
                <w:rFonts w:asciiTheme="minorHAnsi" w:hAnsiTheme="minorHAnsi"/>
                <w:sz w:val="24"/>
                <w:szCs w:val="24"/>
              </w:rPr>
              <w:t>Expérience de la coopération sino-européenne (IDE européens en Chine)</w:t>
            </w:r>
          </w:p>
        </w:tc>
        <w:tc>
          <w:tcPr>
            <w:tcW w:w="4607" w:type="dxa"/>
            <w:gridSpan w:val="4"/>
            <w:tcBorders>
              <w:top w:val="single" w:sz="4" w:space="0" w:color="000000"/>
              <w:left w:val="single" w:sz="4" w:space="0" w:color="000000"/>
              <w:bottom w:val="single" w:sz="4" w:space="0" w:color="000000"/>
              <w:right w:val="single" w:sz="4" w:space="0" w:color="000000"/>
            </w:tcBorders>
            <w:shd w:val="clear" w:color="auto" w:fill="auto"/>
          </w:tcPr>
          <w:p w:rsidR="00A3648B" w:rsidRPr="00D136A6" w:rsidRDefault="00A3648B" w:rsidP="0066667A">
            <w:pPr>
              <w:rPr>
                <w:rFonts w:asciiTheme="minorHAnsi" w:hAnsiTheme="minorHAnsi"/>
                <w:sz w:val="24"/>
                <w:szCs w:val="24"/>
              </w:rPr>
            </w:pPr>
            <w:r w:rsidRPr="00D136A6">
              <w:rPr>
                <w:rFonts w:asciiTheme="minorHAnsi" w:hAnsiTheme="minorHAnsi"/>
                <w:sz w:val="24"/>
                <w:szCs w:val="24"/>
              </w:rPr>
              <w:t>Faible coût du travail</w:t>
            </w:r>
          </w:p>
          <w:p w:rsidR="00A3648B" w:rsidRPr="00D136A6" w:rsidRDefault="00A3648B" w:rsidP="0066667A">
            <w:pPr>
              <w:rPr>
                <w:rFonts w:asciiTheme="minorHAnsi" w:hAnsiTheme="minorHAnsi"/>
                <w:sz w:val="24"/>
                <w:szCs w:val="24"/>
              </w:rPr>
            </w:pPr>
            <w:r w:rsidRPr="00D136A6">
              <w:rPr>
                <w:rFonts w:asciiTheme="minorHAnsi" w:hAnsiTheme="minorHAnsi"/>
                <w:sz w:val="24"/>
                <w:szCs w:val="24"/>
              </w:rPr>
              <w:t>Investissements vierges favorisés : volumes</w:t>
            </w:r>
          </w:p>
          <w:p w:rsidR="00A3648B" w:rsidRPr="00D136A6" w:rsidRDefault="00A3648B" w:rsidP="0066667A">
            <w:pPr>
              <w:rPr>
                <w:rFonts w:asciiTheme="minorHAnsi" w:hAnsiTheme="minorHAnsi"/>
                <w:sz w:val="24"/>
                <w:szCs w:val="24"/>
              </w:rPr>
            </w:pPr>
            <w:r w:rsidRPr="00D136A6">
              <w:rPr>
                <w:rFonts w:asciiTheme="minorHAnsi" w:hAnsiTheme="minorHAnsi"/>
                <w:sz w:val="24"/>
                <w:szCs w:val="24"/>
              </w:rPr>
              <w:t>Marchés en croissance</w:t>
            </w:r>
          </w:p>
          <w:p w:rsidR="00A3648B" w:rsidRPr="00D136A6" w:rsidRDefault="00A3648B" w:rsidP="0066667A">
            <w:pPr>
              <w:rPr>
                <w:rFonts w:asciiTheme="minorHAnsi" w:hAnsiTheme="minorHAnsi"/>
                <w:sz w:val="24"/>
                <w:szCs w:val="24"/>
              </w:rPr>
            </w:pPr>
            <w:r w:rsidRPr="00D136A6">
              <w:rPr>
                <w:rFonts w:asciiTheme="minorHAnsi" w:hAnsiTheme="minorHAnsi"/>
                <w:sz w:val="24"/>
                <w:szCs w:val="24"/>
              </w:rPr>
              <w:t>Continuité avec les routes nord et sud (One belt, one road)</w:t>
            </w:r>
          </w:p>
          <w:p w:rsidR="00A3648B" w:rsidRPr="00D136A6" w:rsidRDefault="00A3648B" w:rsidP="0066667A">
            <w:pPr>
              <w:rPr>
                <w:rFonts w:asciiTheme="minorHAnsi" w:hAnsiTheme="minorHAnsi"/>
              </w:rPr>
            </w:pPr>
            <w:r w:rsidRPr="00D136A6">
              <w:rPr>
                <w:rFonts w:asciiTheme="minorHAnsi" w:hAnsiTheme="minorHAnsi"/>
                <w:sz w:val="24"/>
                <w:szCs w:val="24"/>
              </w:rPr>
              <w:t>Jeu géopolitique : immixtion dans les affaires européennes (1+16)</w:t>
            </w:r>
          </w:p>
        </w:tc>
      </w:tr>
    </w:tbl>
    <w:p w:rsidR="00A3648B" w:rsidRPr="00D136A6" w:rsidRDefault="00A3648B" w:rsidP="00A3648B">
      <w:pPr>
        <w:spacing w:line="360" w:lineRule="auto"/>
        <w:ind w:firstLine="708"/>
        <w:jc w:val="both"/>
        <w:rPr>
          <w:rFonts w:asciiTheme="minorHAnsi" w:hAnsiTheme="minorHAnsi"/>
          <w:color w:val="1C1C1C"/>
          <w:sz w:val="24"/>
          <w:szCs w:val="24"/>
        </w:rPr>
      </w:pPr>
    </w:p>
    <w:p w:rsidR="00D136A6" w:rsidRPr="00D136A6" w:rsidRDefault="00D136A6" w:rsidP="00D136A6">
      <w:pPr>
        <w:spacing w:line="360" w:lineRule="auto"/>
        <w:jc w:val="both"/>
        <w:rPr>
          <w:rFonts w:asciiTheme="minorHAnsi" w:hAnsiTheme="minorHAnsi"/>
          <w:color w:val="1C1C1C"/>
          <w:sz w:val="24"/>
          <w:szCs w:val="24"/>
        </w:rPr>
      </w:pPr>
      <w:r w:rsidRPr="00D136A6">
        <w:rPr>
          <w:rFonts w:asciiTheme="minorHAnsi" w:hAnsiTheme="minorHAnsi"/>
          <w:color w:val="1C1C1C"/>
          <w:sz w:val="24"/>
          <w:szCs w:val="24"/>
        </w:rPr>
        <w:tab/>
        <w:t xml:space="preserve">C’est tout récemment, à la suite d’une réorganisation de la production et la construction d’usines en Chine que Geely-Volvo entre sur le marché </w:t>
      </w:r>
      <w:r w:rsidRPr="00D136A6">
        <w:rPr>
          <w:rFonts w:asciiTheme="minorHAnsi" w:hAnsiTheme="minorHAnsi"/>
          <w:i/>
          <w:color w:val="1C1C1C"/>
          <w:sz w:val="24"/>
          <w:szCs w:val="24"/>
        </w:rPr>
        <w:t>premium</w:t>
      </w:r>
      <w:r w:rsidRPr="00D136A6">
        <w:rPr>
          <w:rFonts w:asciiTheme="minorHAnsi" w:hAnsiTheme="minorHAnsi"/>
          <w:color w:val="1C1C1C"/>
          <w:sz w:val="24"/>
          <w:szCs w:val="24"/>
        </w:rPr>
        <w:t xml:space="preserve"> américain en exportant des voitures haut de gamme produite en Chine. D’autres entreprises sont montées en gamme, via l’internationalisation en remontant (ou descendant) les filières. C’est le cas des firmes dans les technologies de base/moyennes (Haier) et moyennes/supérieures (Huawei). Plus difficile sont les acquisitions et la maîtrise de savoir-faire dans les technologies plus complexes (ordinateurs) qui requièrent des compétences plus marquées en ingénierie. Finalement la stratégie des firmes, en ce qui concerne leur croissance, n’est pas univoque, elle dépend des formes de concurrence sur les marchés, du degré de concentration, du niveau de technologie, des capacités de financement et d’accès au crédit. </w:t>
      </w:r>
    </w:p>
    <w:p w:rsidR="00D136A6" w:rsidRPr="00D136A6" w:rsidRDefault="00D136A6" w:rsidP="00D136A6">
      <w:pPr>
        <w:spacing w:line="360" w:lineRule="auto"/>
        <w:jc w:val="both"/>
        <w:rPr>
          <w:rFonts w:asciiTheme="minorHAnsi" w:hAnsiTheme="minorHAnsi"/>
          <w:color w:val="1C1C1C"/>
          <w:sz w:val="24"/>
          <w:szCs w:val="24"/>
        </w:rPr>
      </w:pPr>
      <w:r w:rsidRPr="00D136A6">
        <w:rPr>
          <w:rFonts w:asciiTheme="minorHAnsi" w:hAnsiTheme="minorHAnsi"/>
          <w:color w:val="1C1C1C"/>
          <w:sz w:val="24"/>
          <w:szCs w:val="24"/>
        </w:rPr>
        <w:tab/>
        <w:t>Sur la base de leurs observations, les auteurs proposent une typologie des modes d’internationalisation des firmes chinoises en Europe (encadré 3) qui rappellent celles présentée dans la figure 1.</w:t>
      </w:r>
    </w:p>
    <w:p w:rsidR="00D136A6" w:rsidRPr="00D136A6" w:rsidRDefault="00D136A6" w:rsidP="00D136A6">
      <w:pPr>
        <w:spacing w:line="360" w:lineRule="auto"/>
        <w:jc w:val="both"/>
        <w:rPr>
          <w:rFonts w:asciiTheme="minorHAnsi" w:hAnsiTheme="minorHAnsi"/>
          <w:color w:val="1C1C1C"/>
          <w:sz w:val="24"/>
          <w:szCs w:val="24"/>
        </w:rPr>
      </w:pPr>
    </w:p>
    <w:p w:rsidR="00A3648B" w:rsidRDefault="00D136A6" w:rsidP="00D136A6">
      <w:pPr>
        <w:spacing w:line="360" w:lineRule="auto"/>
        <w:jc w:val="both"/>
        <w:rPr>
          <w:rFonts w:asciiTheme="minorHAnsi" w:hAnsiTheme="minorHAnsi"/>
          <w:color w:val="1C1C1C"/>
          <w:sz w:val="24"/>
          <w:szCs w:val="24"/>
        </w:rPr>
      </w:pPr>
      <w:r w:rsidRPr="00D136A6">
        <w:rPr>
          <w:rFonts w:asciiTheme="minorHAnsi" w:hAnsiTheme="minorHAnsi"/>
          <w:color w:val="1C1C1C"/>
          <w:sz w:val="24"/>
          <w:szCs w:val="24"/>
        </w:rPr>
        <w:tab/>
        <w:t>Par type d’investissement, on peut classer ces entreprises en deux catégories, spécialisation d’un côté (Lenovo, Haieir, Huawei), diversification de l’autre (Fosum, Wanda).  Les auteurs confirment ce qu’avance P. Nolan (2012): l’opacité de la gouvernance (sociétés écrans en cascade, contournement des organigrammes), la faiblesse de leurs opérations à l’étranger (10% en moyenne contre 80-90% pour les FMN occidentales), les fortes disparités dans les logiques de fusions-acquisitions en termes de marché, de réserve de croissance, de logique de dimension, d’adéquation entre le prix d’acquisition et la cible recherchée. Certaines entreprises ont pu acquérir des actifs relativement sous-évalués (Dongfeng/PSA), moyennement évalués (Geely/Volvo), des entreprises déficitaires mais avec des risques associés élevés. Enfin, un dernier point concerne le mode de financement des acquisitions étrangères, en grande partie par prêts bancaires auprès de banques chinoises. Plusieurs compagnies, comme Huawei, alignent des découverts bancaires importants. Le niveau d’engagements risqués affiché par certaines banques explique leur retrait ou bien leur participation limitée à des prises de contrôle d’actifs étrangers dans la dernière période. Dans le cas de l’acquisition de Volvo par Geely (1 ,8 milliards de $), 40% de l’acquisition s’est faite par apport de fonds propres de l’entreprise, 10% en provenance d’une banque d’Etat, 10% par émission d’actions, le reste par les deux gouvernements provinciaux récepteurs des usines de construction prévues dans l’accord</w:t>
      </w:r>
      <w:r w:rsidRPr="00D136A6">
        <w:rPr>
          <w:rStyle w:val="Appelnotedebasdep1"/>
          <w:rFonts w:asciiTheme="minorHAnsi" w:hAnsiTheme="minorHAnsi"/>
          <w:color w:val="1C1C1C"/>
          <w:sz w:val="24"/>
          <w:szCs w:val="24"/>
        </w:rPr>
        <w:footnoteReference w:id="38"/>
      </w:r>
      <w:r w:rsidRPr="00D136A6">
        <w:rPr>
          <w:rFonts w:asciiTheme="minorHAnsi" w:hAnsiTheme="minorHAnsi"/>
          <w:color w:val="1C1C1C"/>
          <w:sz w:val="24"/>
          <w:szCs w:val="24"/>
        </w:rPr>
        <w:t xml:space="preserve">. Il reste que les banques et institutions chinoises jouent un rôle non négligeable dans le financement des acquisitions, en ouvrant des lignes de crédit aux firmes qui investissement en Europe.   </w:t>
      </w:r>
    </w:p>
    <w:p w:rsidR="00A3648B" w:rsidRDefault="00A3648B" w:rsidP="00D136A6">
      <w:pPr>
        <w:spacing w:line="360" w:lineRule="auto"/>
        <w:jc w:val="both"/>
        <w:rPr>
          <w:rFonts w:asciiTheme="minorHAnsi" w:hAnsiTheme="minorHAnsi"/>
          <w:color w:val="1C1C1C"/>
          <w:sz w:val="24"/>
          <w:szCs w:val="24"/>
        </w:rPr>
      </w:pPr>
    </w:p>
    <w:p w:rsidR="00A3648B" w:rsidRPr="00D136A6" w:rsidRDefault="00A3648B" w:rsidP="00A3648B">
      <w:pPr>
        <w:spacing w:line="360" w:lineRule="auto"/>
        <w:jc w:val="both"/>
        <w:rPr>
          <w:rFonts w:asciiTheme="minorHAnsi" w:hAnsiTheme="minorHAnsi"/>
          <w:color w:val="1C1C1C"/>
          <w:sz w:val="24"/>
          <w:szCs w:val="24"/>
        </w:rPr>
      </w:pPr>
      <w:r w:rsidRPr="00D136A6">
        <w:rPr>
          <w:rFonts w:asciiTheme="minorHAnsi" w:hAnsiTheme="minorHAnsi"/>
          <w:b/>
          <w:color w:val="1C1C1C"/>
          <w:sz w:val="24"/>
          <w:szCs w:val="24"/>
        </w:rPr>
        <w:t>Encadré 3 : Mode d’internationalisation des firmes chinoises en Europe</w:t>
      </w:r>
    </w:p>
    <w:p w:rsidR="00A3648B" w:rsidRPr="00D136A6" w:rsidRDefault="00A3648B" w:rsidP="00A3648B">
      <w:pPr>
        <w:spacing w:line="360" w:lineRule="auto"/>
        <w:jc w:val="both"/>
        <w:rPr>
          <w:rFonts w:asciiTheme="minorHAnsi" w:hAnsiTheme="minorHAnsi"/>
          <w:color w:val="1C1C1C"/>
          <w:sz w:val="24"/>
          <w:szCs w:val="24"/>
        </w:rPr>
      </w:pPr>
    </w:p>
    <w:p w:rsidR="00A3648B" w:rsidRPr="00D136A6" w:rsidRDefault="00A3648B" w:rsidP="00A3648B">
      <w:pPr>
        <w:pBdr>
          <w:top w:val="single" w:sz="4" w:space="1" w:color="000000"/>
          <w:left w:val="single" w:sz="4" w:space="4" w:color="000000"/>
          <w:bottom w:val="single" w:sz="4" w:space="1" w:color="000000"/>
          <w:right w:val="single" w:sz="4" w:space="4" w:color="000000"/>
        </w:pBdr>
        <w:jc w:val="both"/>
        <w:rPr>
          <w:rFonts w:asciiTheme="minorHAnsi" w:hAnsiTheme="minorHAnsi"/>
          <w:color w:val="1C1C1C"/>
          <w:sz w:val="24"/>
          <w:szCs w:val="24"/>
        </w:rPr>
      </w:pPr>
      <w:r w:rsidRPr="00D136A6">
        <w:rPr>
          <w:rFonts w:asciiTheme="minorHAnsi" w:hAnsiTheme="minorHAnsi"/>
          <w:color w:val="1C1C1C"/>
          <w:sz w:val="24"/>
          <w:szCs w:val="24"/>
        </w:rPr>
        <w:t>- Produits d’appel puis montée en gamme : Haier</w:t>
      </w:r>
    </w:p>
    <w:p w:rsidR="00A3648B" w:rsidRPr="00D136A6" w:rsidRDefault="00A3648B" w:rsidP="00A3648B">
      <w:pPr>
        <w:pBdr>
          <w:top w:val="single" w:sz="4" w:space="1" w:color="000000"/>
          <w:left w:val="single" w:sz="4" w:space="4" w:color="000000"/>
          <w:bottom w:val="single" w:sz="4" w:space="1" w:color="000000"/>
          <w:right w:val="single" w:sz="4" w:space="4" w:color="000000"/>
        </w:pBdr>
        <w:jc w:val="both"/>
        <w:rPr>
          <w:rFonts w:asciiTheme="minorHAnsi" w:hAnsiTheme="minorHAnsi"/>
          <w:color w:val="1C1C1C"/>
          <w:sz w:val="24"/>
          <w:szCs w:val="24"/>
        </w:rPr>
      </w:pPr>
      <w:r w:rsidRPr="00D136A6">
        <w:rPr>
          <w:rFonts w:asciiTheme="minorHAnsi" w:hAnsiTheme="minorHAnsi"/>
          <w:color w:val="1C1C1C"/>
          <w:sz w:val="24"/>
          <w:szCs w:val="24"/>
        </w:rPr>
        <w:t>- Sous-traitance puis clients directs : Huawei</w:t>
      </w:r>
    </w:p>
    <w:p w:rsidR="00A3648B" w:rsidRPr="00D136A6" w:rsidRDefault="00A3648B" w:rsidP="00A3648B">
      <w:pPr>
        <w:pBdr>
          <w:top w:val="single" w:sz="4" w:space="1" w:color="000000"/>
          <w:left w:val="single" w:sz="4" w:space="4" w:color="000000"/>
          <w:bottom w:val="single" w:sz="4" w:space="1" w:color="000000"/>
          <w:right w:val="single" w:sz="4" w:space="4" w:color="000000"/>
        </w:pBdr>
        <w:jc w:val="both"/>
        <w:rPr>
          <w:rFonts w:asciiTheme="minorHAnsi" w:hAnsiTheme="minorHAnsi"/>
          <w:color w:val="1C1C1C"/>
          <w:sz w:val="24"/>
          <w:szCs w:val="24"/>
        </w:rPr>
      </w:pPr>
      <w:r w:rsidRPr="00D136A6">
        <w:rPr>
          <w:rFonts w:asciiTheme="minorHAnsi" w:hAnsiTheme="minorHAnsi"/>
          <w:color w:val="1C1C1C"/>
          <w:sz w:val="24"/>
          <w:szCs w:val="24"/>
        </w:rPr>
        <w:t>- Acquisitions massives : Lenovo, Geely, ChemChina</w:t>
      </w:r>
    </w:p>
    <w:p w:rsidR="00A3648B" w:rsidRPr="00D136A6" w:rsidRDefault="00A3648B" w:rsidP="00A3648B">
      <w:pPr>
        <w:pBdr>
          <w:top w:val="single" w:sz="4" w:space="1" w:color="000000"/>
          <w:left w:val="single" w:sz="4" w:space="4" w:color="000000"/>
          <w:bottom w:val="single" w:sz="4" w:space="1" w:color="000000"/>
          <w:right w:val="single" w:sz="4" w:space="4" w:color="000000"/>
        </w:pBdr>
        <w:jc w:val="both"/>
        <w:rPr>
          <w:rFonts w:asciiTheme="minorHAnsi" w:hAnsiTheme="minorHAnsi"/>
          <w:color w:val="1C1C1C"/>
          <w:sz w:val="24"/>
          <w:szCs w:val="24"/>
        </w:rPr>
      </w:pPr>
      <w:r w:rsidRPr="00D136A6">
        <w:rPr>
          <w:rFonts w:asciiTheme="minorHAnsi" w:hAnsiTheme="minorHAnsi"/>
          <w:color w:val="1C1C1C"/>
          <w:sz w:val="24"/>
          <w:szCs w:val="24"/>
        </w:rPr>
        <w:t>- « Orientalisme » : Hôtels de luxe d’origine asiatique (HK, Singapour)</w:t>
      </w:r>
    </w:p>
    <w:p w:rsidR="00A3648B" w:rsidRPr="00D136A6" w:rsidRDefault="00A3648B" w:rsidP="00A3648B">
      <w:pPr>
        <w:pBdr>
          <w:top w:val="single" w:sz="4" w:space="1" w:color="000000"/>
          <w:left w:val="single" w:sz="4" w:space="4" w:color="000000"/>
          <w:bottom w:val="single" w:sz="4" w:space="1" w:color="000000"/>
          <w:right w:val="single" w:sz="4" w:space="4" w:color="000000"/>
        </w:pBdr>
        <w:jc w:val="both"/>
        <w:rPr>
          <w:rFonts w:asciiTheme="minorHAnsi" w:hAnsiTheme="minorHAnsi"/>
          <w:color w:val="1C1C1C"/>
          <w:sz w:val="24"/>
          <w:szCs w:val="24"/>
        </w:rPr>
      </w:pPr>
      <w:r w:rsidRPr="00D136A6">
        <w:rPr>
          <w:rFonts w:asciiTheme="minorHAnsi" w:hAnsiTheme="minorHAnsi"/>
          <w:color w:val="1C1C1C"/>
          <w:sz w:val="24"/>
          <w:szCs w:val="24"/>
        </w:rPr>
        <w:t xml:space="preserve">- Champions nationaux poussés hors de Chine, Dongfeng, SAIC (automobile) </w:t>
      </w:r>
    </w:p>
    <w:p w:rsidR="00A3648B" w:rsidRPr="00D136A6" w:rsidRDefault="00A3648B" w:rsidP="00A3648B">
      <w:pPr>
        <w:spacing w:line="360" w:lineRule="auto"/>
        <w:jc w:val="both"/>
        <w:rPr>
          <w:rFonts w:asciiTheme="minorHAnsi" w:hAnsiTheme="minorHAnsi"/>
          <w:color w:val="1C1C1C"/>
          <w:sz w:val="24"/>
          <w:szCs w:val="24"/>
        </w:rPr>
      </w:pPr>
      <w:r w:rsidRPr="00D136A6">
        <w:rPr>
          <w:rFonts w:asciiTheme="minorHAnsi" w:hAnsiTheme="minorHAnsi"/>
          <w:color w:val="1C1C1C"/>
          <w:sz w:val="24"/>
          <w:szCs w:val="24"/>
        </w:rPr>
        <w:t>Source : Le Corre et Sepulchre (2015)</w:t>
      </w:r>
    </w:p>
    <w:p w:rsidR="00D136A6" w:rsidRPr="00D136A6" w:rsidRDefault="00D136A6" w:rsidP="00D136A6">
      <w:pPr>
        <w:spacing w:line="360" w:lineRule="auto"/>
        <w:jc w:val="both"/>
        <w:rPr>
          <w:rFonts w:asciiTheme="minorHAnsi" w:hAnsiTheme="minorHAnsi"/>
          <w:color w:val="1C1C1C"/>
          <w:sz w:val="24"/>
          <w:szCs w:val="24"/>
        </w:rPr>
      </w:pPr>
      <w:r w:rsidRPr="00D136A6">
        <w:rPr>
          <w:rFonts w:asciiTheme="minorHAnsi" w:hAnsiTheme="minorHAnsi"/>
          <w:color w:val="1C1C1C"/>
          <w:sz w:val="24"/>
          <w:szCs w:val="24"/>
        </w:rPr>
        <w:t xml:space="preserve"> </w:t>
      </w:r>
    </w:p>
    <w:p w:rsidR="00D136A6" w:rsidRPr="00D136A6" w:rsidRDefault="00D136A6" w:rsidP="00D136A6">
      <w:pPr>
        <w:spacing w:line="360" w:lineRule="auto"/>
        <w:jc w:val="both"/>
        <w:rPr>
          <w:rFonts w:asciiTheme="minorHAnsi" w:hAnsiTheme="minorHAnsi"/>
          <w:color w:val="1C1C1C"/>
          <w:sz w:val="24"/>
          <w:szCs w:val="24"/>
        </w:rPr>
      </w:pPr>
    </w:p>
    <w:p w:rsidR="00D136A6" w:rsidRPr="00D136A6" w:rsidRDefault="00D136A6" w:rsidP="00D136A6">
      <w:pPr>
        <w:spacing w:line="360" w:lineRule="auto"/>
        <w:jc w:val="both"/>
        <w:rPr>
          <w:rFonts w:asciiTheme="minorHAnsi" w:hAnsiTheme="minorHAnsi"/>
          <w:color w:val="1C1C1C"/>
          <w:sz w:val="24"/>
          <w:szCs w:val="24"/>
        </w:rPr>
      </w:pPr>
      <w:r w:rsidRPr="00D136A6">
        <w:rPr>
          <w:rFonts w:asciiTheme="minorHAnsi" w:hAnsiTheme="minorHAnsi"/>
          <w:b/>
          <w:color w:val="1C1C1C"/>
          <w:sz w:val="24"/>
          <w:szCs w:val="24"/>
        </w:rPr>
        <w:tab/>
        <w:t>Les NEM et les Balkans : des entrées secondaires ?</w:t>
      </w:r>
    </w:p>
    <w:p w:rsidR="00D136A6" w:rsidRPr="00D136A6" w:rsidRDefault="00D136A6" w:rsidP="00D136A6">
      <w:pPr>
        <w:spacing w:line="360" w:lineRule="auto"/>
        <w:jc w:val="both"/>
        <w:rPr>
          <w:rFonts w:asciiTheme="minorHAnsi" w:hAnsiTheme="minorHAnsi"/>
          <w:color w:val="1C1C1C"/>
          <w:sz w:val="24"/>
          <w:szCs w:val="24"/>
        </w:rPr>
      </w:pPr>
    </w:p>
    <w:p w:rsidR="00D136A6" w:rsidRPr="00D136A6" w:rsidRDefault="00D136A6" w:rsidP="00D136A6">
      <w:pPr>
        <w:spacing w:line="360" w:lineRule="auto"/>
        <w:jc w:val="both"/>
        <w:rPr>
          <w:rFonts w:asciiTheme="minorHAnsi" w:hAnsiTheme="minorHAnsi"/>
          <w:color w:val="1C1C1C"/>
          <w:sz w:val="24"/>
          <w:szCs w:val="24"/>
        </w:rPr>
      </w:pPr>
      <w:r w:rsidRPr="00D136A6">
        <w:rPr>
          <w:rFonts w:asciiTheme="minorHAnsi" w:hAnsiTheme="minorHAnsi"/>
          <w:color w:val="1C1C1C"/>
          <w:sz w:val="24"/>
          <w:szCs w:val="24"/>
        </w:rPr>
        <w:tab/>
        <w:t>On a souligné la forte asymétrie qui existe entre l’UE-15 et l’autre partie de l’Europe (NEM, pays en accession). Si les NEM commencent à attirer une partie des IDE chinois, leur pourcentage reste faible et on ne compte pas, à part quelques exemples, en Hongrie, en Roumanie, d’importants volumes d’IDE. A l’exception de la Hongrie, dans aucun autre des pays de la région les IDE ne montent à plus de 1% du PIB national. Plusieurs raisons peuvent expliquer cette faible attractivité. Les investisseurs chinois arrivent après les grands changements institutionnels qui ont marqué la transition de ces économies en économies de marché (privatisations de masse à des prix compétitifs), les avantages en termes de coût existent toujours mais tendent à se réduire, les actifs intéressants à acquérir ont été vendus ou bien n’ont plus beaucoup de valeur (coûts irrécupérables). Seuls les facteurs de proximité des marchés, de moindres coûts des investissements vierges expliquent des investissements dans l’industrie manufacturière. La concurrence avec les pays situés plus à l’Est (Russie, Ukraine, Biélorussie) existe. Par contre, dans cette région, comme dans les Balkans les IDE familiaux prospèrent et contribuent à l’accroissement du nombre des implantations mais ne comptent pas beaucoup en volumes investis.</w:t>
      </w:r>
    </w:p>
    <w:p w:rsidR="00D136A6" w:rsidRPr="00D136A6" w:rsidRDefault="00D136A6" w:rsidP="00D136A6">
      <w:pPr>
        <w:spacing w:line="360" w:lineRule="auto"/>
        <w:jc w:val="both"/>
        <w:rPr>
          <w:rFonts w:asciiTheme="minorHAnsi" w:hAnsiTheme="minorHAnsi"/>
          <w:color w:val="1C1C1C"/>
          <w:sz w:val="24"/>
          <w:szCs w:val="24"/>
        </w:rPr>
      </w:pPr>
    </w:p>
    <w:p w:rsidR="00D136A6" w:rsidRPr="00D136A6" w:rsidRDefault="00D136A6" w:rsidP="00D136A6">
      <w:pPr>
        <w:spacing w:line="360" w:lineRule="auto"/>
        <w:jc w:val="both"/>
        <w:rPr>
          <w:rFonts w:asciiTheme="minorHAnsi" w:hAnsiTheme="minorHAnsi"/>
          <w:b/>
          <w:color w:val="1C1C1C"/>
          <w:sz w:val="24"/>
          <w:szCs w:val="24"/>
        </w:rPr>
      </w:pPr>
      <w:r w:rsidRPr="00D136A6">
        <w:rPr>
          <w:rFonts w:asciiTheme="minorHAnsi" w:hAnsiTheme="minorHAnsi"/>
          <w:b/>
          <w:color w:val="1C1C1C"/>
          <w:sz w:val="24"/>
          <w:szCs w:val="24"/>
        </w:rPr>
        <w:t>Figure 6 : Stock d’IDE chinois dans les PECO (en millions de $), 2012</w:t>
      </w:r>
    </w:p>
    <w:p w:rsidR="00D136A6" w:rsidRPr="00D136A6" w:rsidRDefault="00D136A6" w:rsidP="00D136A6">
      <w:pPr>
        <w:spacing w:line="360" w:lineRule="auto"/>
        <w:jc w:val="both"/>
        <w:rPr>
          <w:rFonts w:asciiTheme="minorHAnsi" w:hAnsiTheme="minorHAnsi"/>
          <w:b/>
          <w:color w:val="1C1C1C"/>
          <w:sz w:val="24"/>
          <w:szCs w:val="24"/>
        </w:rPr>
      </w:pPr>
    </w:p>
    <w:p w:rsidR="00D136A6" w:rsidRPr="00D136A6" w:rsidRDefault="00D136A6" w:rsidP="00D136A6">
      <w:pPr>
        <w:spacing w:line="360" w:lineRule="auto"/>
        <w:jc w:val="both"/>
        <w:rPr>
          <w:rFonts w:asciiTheme="minorHAnsi" w:hAnsiTheme="minorHAnsi"/>
          <w:color w:val="1C1C1C"/>
          <w:sz w:val="24"/>
          <w:szCs w:val="24"/>
          <w:lang w:val="en-US"/>
        </w:rPr>
      </w:pPr>
      <w:r w:rsidRPr="00D136A6">
        <w:rPr>
          <w:rFonts w:asciiTheme="minorHAnsi" w:hAnsiTheme="minorHAnsi"/>
          <w:noProof/>
          <w:sz w:val="24"/>
          <w:szCs w:val="24"/>
        </w:rPr>
        <w:drawing>
          <wp:inline distT="0" distB="0" distL="0" distR="0">
            <wp:extent cx="5757545" cy="3403600"/>
            <wp:effectExtent l="0" t="0" r="825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757545" cy="3403600"/>
                    </a:xfrm>
                    <a:prstGeom prst="rect">
                      <a:avLst/>
                    </a:prstGeom>
                    <a:solidFill>
                      <a:srgbClr val="FFFFFF"/>
                    </a:solidFill>
                    <a:ln>
                      <a:noFill/>
                    </a:ln>
                  </pic:spPr>
                </pic:pic>
              </a:graphicData>
            </a:graphic>
          </wp:inline>
        </w:drawing>
      </w:r>
    </w:p>
    <w:p w:rsidR="00D136A6" w:rsidRPr="00D136A6" w:rsidRDefault="00D136A6" w:rsidP="00D136A6">
      <w:pPr>
        <w:spacing w:line="360" w:lineRule="auto"/>
        <w:jc w:val="both"/>
        <w:rPr>
          <w:rFonts w:asciiTheme="minorHAnsi" w:hAnsiTheme="minorHAnsi"/>
          <w:color w:val="1C1C1C"/>
          <w:sz w:val="24"/>
          <w:szCs w:val="24"/>
          <w:lang w:val="en-US"/>
        </w:rPr>
      </w:pPr>
      <w:r w:rsidRPr="00D136A6">
        <w:rPr>
          <w:rFonts w:asciiTheme="minorHAnsi" w:hAnsiTheme="minorHAnsi"/>
          <w:color w:val="1C1C1C"/>
          <w:sz w:val="24"/>
          <w:szCs w:val="24"/>
          <w:lang w:val="en-US"/>
        </w:rPr>
        <w:t xml:space="preserve">Source : </w:t>
      </w:r>
      <w:r w:rsidRPr="00D136A6">
        <w:rPr>
          <w:rFonts w:asciiTheme="minorHAnsi" w:hAnsiTheme="minorHAnsi"/>
          <w:sz w:val="24"/>
          <w:szCs w:val="24"/>
          <w:lang w:val="en-US"/>
        </w:rPr>
        <w:t>Hanemann Thilo and Mikko Huotari (2015) </w:t>
      </w:r>
    </w:p>
    <w:p w:rsidR="00A3648B" w:rsidRPr="00D136A6" w:rsidRDefault="00A3648B" w:rsidP="00A3648B">
      <w:pPr>
        <w:spacing w:line="360" w:lineRule="auto"/>
        <w:jc w:val="both"/>
        <w:rPr>
          <w:rFonts w:asciiTheme="minorHAnsi" w:hAnsiTheme="minorHAnsi"/>
        </w:rPr>
      </w:pPr>
      <w:r w:rsidRPr="00D136A6">
        <w:rPr>
          <w:rFonts w:asciiTheme="minorHAnsi" w:eastAsia="Calibri" w:hAnsiTheme="minorHAnsi"/>
          <w:b/>
          <w:color w:val="1C1C1C"/>
          <w:sz w:val="24"/>
          <w:szCs w:val="24"/>
        </w:rPr>
        <w:t>Tableau 6:  Les IDE chinois dans les Balkans</w:t>
      </w:r>
    </w:p>
    <w:tbl>
      <w:tblPr>
        <w:tblW w:w="0" w:type="auto"/>
        <w:tblInd w:w="-25" w:type="dxa"/>
        <w:tblLayout w:type="fixed"/>
        <w:tblLook w:val="0000"/>
      </w:tblPr>
      <w:tblGrid>
        <w:gridCol w:w="2218"/>
        <w:gridCol w:w="1007"/>
        <w:gridCol w:w="1487"/>
        <w:gridCol w:w="894"/>
        <w:gridCol w:w="1193"/>
        <w:gridCol w:w="1022"/>
        <w:gridCol w:w="1285"/>
      </w:tblGrid>
      <w:tr w:rsidR="00A3648B" w:rsidRPr="00D136A6">
        <w:tc>
          <w:tcPr>
            <w:tcW w:w="2218" w:type="dxa"/>
            <w:vMerge w:val="restart"/>
            <w:tcBorders>
              <w:top w:val="single" w:sz="4" w:space="0" w:color="000000"/>
              <w:left w:val="single" w:sz="4" w:space="0" w:color="000000"/>
              <w:bottom w:val="single" w:sz="4" w:space="0" w:color="000000"/>
            </w:tcBorders>
            <w:shd w:val="clear" w:color="auto" w:fill="auto"/>
          </w:tcPr>
          <w:p w:rsidR="00A3648B" w:rsidRPr="00D136A6" w:rsidRDefault="00A3648B" w:rsidP="0066667A">
            <w:pPr>
              <w:snapToGrid w:val="0"/>
              <w:rPr>
                <w:rFonts w:asciiTheme="minorHAnsi" w:hAnsiTheme="minorHAnsi"/>
              </w:rPr>
            </w:pPr>
          </w:p>
        </w:tc>
        <w:tc>
          <w:tcPr>
            <w:tcW w:w="1007" w:type="dxa"/>
            <w:vMerge w:val="restart"/>
            <w:tcBorders>
              <w:top w:val="single" w:sz="4" w:space="0" w:color="000000"/>
              <w:left w:val="single" w:sz="4" w:space="0" w:color="000000"/>
              <w:bottom w:val="single" w:sz="4" w:space="0" w:color="000000"/>
            </w:tcBorders>
            <w:shd w:val="clear" w:color="auto" w:fill="auto"/>
          </w:tcPr>
          <w:p w:rsidR="00A3648B" w:rsidRPr="00D136A6" w:rsidRDefault="00A3648B" w:rsidP="0066667A">
            <w:pPr>
              <w:jc w:val="center"/>
              <w:rPr>
                <w:rFonts w:asciiTheme="minorHAnsi" w:eastAsia="Calibri" w:hAnsiTheme="minorHAnsi"/>
                <w:sz w:val="24"/>
                <w:szCs w:val="24"/>
              </w:rPr>
            </w:pPr>
            <w:r w:rsidRPr="00D136A6">
              <w:rPr>
                <w:rFonts w:asciiTheme="minorHAnsi" w:eastAsia="Calibri" w:hAnsiTheme="minorHAnsi"/>
                <w:sz w:val="24"/>
                <w:szCs w:val="24"/>
              </w:rPr>
              <w:t>N° de</w:t>
            </w:r>
          </w:p>
          <w:p w:rsidR="00A3648B" w:rsidRPr="00D136A6" w:rsidRDefault="00A3648B" w:rsidP="0066667A">
            <w:pPr>
              <w:jc w:val="center"/>
              <w:rPr>
                <w:rFonts w:asciiTheme="minorHAnsi" w:eastAsia="Calibri" w:hAnsiTheme="minorHAnsi"/>
                <w:sz w:val="24"/>
                <w:szCs w:val="24"/>
              </w:rPr>
            </w:pPr>
            <w:r w:rsidRPr="00D136A6">
              <w:rPr>
                <w:rFonts w:asciiTheme="minorHAnsi" w:eastAsia="Calibri" w:hAnsiTheme="minorHAnsi"/>
                <w:sz w:val="24"/>
                <w:szCs w:val="24"/>
              </w:rPr>
              <w:t>projets</w:t>
            </w:r>
          </w:p>
        </w:tc>
        <w:tc>
          <w:tcPr>
            <w:tcW w:w="1487" w:type="dxa"/>
            <w:vMerge w:val="restart"/>
            <w:tcBorders>
              <w:top w:val="single" w:sz="4" w:space="0" w:color="000000"/>
              <w:left w:val="single" w:sz="4" w:space="0" w:color="000000"/>
              <w:bottom w:val="single" w:sz="4" w:space="0" w:color="000000"/>
            </w:tcBorders>
            <w:shd w:val="clear" w:color="auto" w:fill="auto"/>
          </w:tcPr>
          <w:p w:rsidR="00A3648B" w:rsidRPr="00D136A6" w:rsidRDefault="00A3648B" w:rsidP="0066667A">
            <w:pPr>
              <w:jc w:val="center"/>
              <w:rPr>
                <w:rFonts w:asciiTheme="minorHAnsi" w:eastAsia="Calibri" w:hAnsiTheme="minorHAnsi"/>
                <w:sz w:val="24"/>
                <w:szCs w:val="24"/>
              </w:rPr>
            </w:pPr>
            <w:r w:rsidRPr="00D136A6">
              <w:rPr>
                <w:rFonts w:asciiTheme="minorHAnsi" w:eastAsia="Calibri" w:hAnsiTheme="minorHAnsi"/>
                <w:sz w:val="24"/>
                <w:szCs w:val="24"/>
              </w:rPr>
              <w:t>N° de</w:t>
            </w:r>
          </w:p>
          <w:p w:rsidR="00A3648B" w:rsidRPr="00D136A6" w:rsidRDefault="00A3648B" w:rsidP="0066667A">
            <w:pPr>
              <w:jc w:val="center"/>
              <w:rPr>
                <w:rFonts w:asciiTheme="minorHAnsi" w:eastAsia="Calibri" w:hAnsiTheme="minorHAnsi"/>
                <w:sz w:val="24"/>
                <w:szCs w:val="24"/>
              </w:rPr>
            </w:pPr>
            <w:r w:rsidRPr="00D136A6">
              <w:rPr>
                <w:rFonts w:asciiTheme="minorHAnsi" w:eastAsia="Calibri" w:hAnsiTheme="minorHAnsi"/>
                <w:sz w:val="24"/>
                <w:szCs w:val="24"/>
              </w:rPr>
              <w:t>compagnies</w:t>
            </w:r>
          </w:p>
        </w:tc>
        <w:tc>
          <w:tcPr>
            <w:tcW w:w="2087" w:type="dxa"/>
            <w:gridSpan w:val="2"/>
            <w:tcBorders>
              <w:top w:val="single" w:sz="4" w:space="0" w:color="000000"/>
              <w:left w:val="single" w:sz="4" w:space="0" w:color="000000"/>
              <w:bottom w:val="single" w:sz="4" w:space="0" w:color="000000"/>
            </w:tcBorders>
            <w:shd w:val="clear" w:color="auto" w:fill="auto"/>
          </w:tcPr>
          <w:p w:rsidR="00A3648B" w:rsidRPr="00D136A6" w:rsidRDefault="00A3648B" w:rsidP="0066667A">
            <w:pPr>
              <w:jc w:val="center"/>
              <w:rPr>
                <w:rFonts w:asciiTheme="minorHAnsi" w:eastAsia="Calibri" w:hAnsiTheme="minorHAnsi"/>
                <w:sz w:val="24"/>
                <w:szCs w:val="24"/>
              </w:rPr>
            </w:pPr>
            <w:r w:rsidRPr="00D136A6">
              <w:rPr>
                <w:rFonts w:asciiTheme="minorHAnsi" w:eastAsia="Calibri" w:hAnsiTheme="minorHAnsi"/>
                <w:sz w:val="24"/>
                <w:szCs w:val="24"/>
              </w:rPr>
              <w:t>Création d’emplois</w:t>
            </w:r>
          </w:p>
        </w:tc>
        <w:tc>
          <w:tcPr>
            <w:tcW w:w="2307" w:type="dxa"/>
            <w:gridSpan w:val="2"/>
            <w:tcBorders>
              <w:top w:val="single" w:sz="4" w:space="0" w:color="000000"/>
              <w:left w:val="single" w:sz="4" w:space="0" w:color="000000"/>
              <w:bottom w:val="single" w:sz="4" w:space="0" w:color="000000"/>
              <w:right w:val="single" w:sz="4" w:space="0" w:color="000000"/>
            </w:tcBorders>
            <w:shd w:val="clear" w:color="auto" w:fill="auto"/>
          </w:tcPr>
          <w:p w:rsidR="00A3648B" w:rsidRPr="00D136A6" w:rsidRDefault="00A3648B" w:rsidP="0066667A">
            <w:pPr>
              <w:jc w:val="center"/>
              <w:rPr>
                <w:rFonts w:asciiTheme="minorHAnsi" w:hAnsiTheme="minorHAnsi"/>
              </w:rPr>
            </w:pPr>
            <w:r w:rsidRPr="00D136A6">
              <w:rPr>
                <w:rFonts w:asciiTheme="minorHAnsi" w:eastAsia="Calibri" w:hAnsiTheme="minorHAnsi"/>
                <w:sz w:val="24"/>
                <w:szCs w:val="24"/>
              </w:rPr>
              <w:t>Investissements (mios $)</w:t>
            </w:r>
          </w:p>
        </w:tc>
      </w:tr>
      <w:tr w:rsidR="00A3648B" w:rsidRPr="00D136A6">
        <w:tc>
          <w:tcPr>
            <w:tcW w:w="2218" w:type="dxa"/>
            <w:vMerge/>
            <w:tcBorders>
              <w:top w:val="single" w:sz="4" w:space="0" w:color="000000"/>
              <w:left w:val="single" w:sz="4" w:space="0" w:color="000000"/>
              <w:bottom w:val="single" w:sz="4" w:space="0" w:color="000000"/>
            </w:tcBorders>
            <w:shd w:val="clear" w:color="auto" w:fill="auto"/>
          </w:tcPr>
          <w:p w:rsidR="00A3648B" w:rsidRPr="00D136A6" w:rsidRDefault="00A3648B" w:rsidP="0066667A">
            <w:pPr>
              <w:snapToGrid w:val="0"/>
              <w:rPr>
                <w:rFonts w:asciiTheme="minorHAnsi" w:eastAsia="Calibri" w:hAnsiTheme="minorHAnsi"/>
                <w:sz w:val="24"/>
                <w:szCs w:val="24"/>
              </w:rPr>
            </w:pPr>
          </w:p>
        </w:tc>
        <w:tc>
          <w:tcPr>
            <w:tcW w:w="1007" w:type="dxa"/>
            <w:vMerge/>
            <w:tcBorders>
              <w:top w:val="single" w:sz="4" w:space="0" w:color="000000"/>
              <w:left w:val="single" w:sz="4" w:space="0" w:color="000000"/>
              <w:bottom w:val="single" w:sz="4" w:space="0" w:color="000000"/>
            </w:tcBorders>
            <w:shd w:val="clear" w:color="auto" w:fill="auto"/>
          </w:tcPr>
          <w:p w:rsidR="00A3648B" w:rsidRPr="00D136A6" w:rsidRDefault="00A3648B" w:rsidP="0066667A">
            <w:pPr>
              <w:snapToGrid w:val="0"/>
              <w:jc w:val="center"/>
              <w:rPr>
                <w:rFonts w:asciiTheme="minorHAnsi" w:eastAsia="Calibri" w:hAnsiTheme="minorHAnsi"/>
                <w:sz w:val="24"/>
                <w:szCs w:val="24"/>
              </w:rPr>
            </w:pPr>
          </w:p>
        </w:tc>
        <w:tc>
          <w:tcPr>
            <w:tcW w:w="1487" w:type="dxa"/>
            <w:vMerge/>
            <w:tcBorders>
              <w:top w:val="single" w:sz="4" w:space="0" w:color="000000"/>
              <w:left w:val="single" w:sz="4" w:space="0" w:color="000000"/>
              <w:bottom w:val="single" w:sz="4" w:space="0" w:color="000000"/>
            </w:tcBorders>
            <w:shd w:val="clear" w:color="auto" w:fill="auto"/>
          </w:tcPr>
          <w:p w:rsidR="00A3648B" w:rsidRPr="00D136A6" w:rsidRDefault="00A3648B" w:rsidP="0066667A">
            <w:pPr>
              <w:snapToGrid w:val="0"/>
              <w:jc w:val="center"/>
              <w:rPr>
                <w:rFonts w:asciiTheme="minorHAnsi" w:eastAsia="Calibri" w:hAnsiTheme="minorHAnsi"/>
                <w:sz w:val="24"/>
                <w:szCs w:val="24"/>
              </w:rPr>
            </w:pPr>
          </w:p>
        </w:tc>
        <w:tc>
          <w:tcPr>
            <w:tcW w:w="894" w:type="dxa"/>
            <w:tcBorders>
              <w:top w:val="single" w:sz="4" w:space="0" w:color="000000"/>
              <w:left w:val="single" w:sz="4" w:space="0" w:color="000000"/>
              <w:bottom w:val="single" w:sz="4" w:space="0" w:color="000000"/>
            </w:tcBorders>
            <w:shd w:val="clear" w:color="auto" w:fill="auto"/>
          </w:tcPr>
          <w:p w:rsidR="00A3648B" w:rsidRPr="00D136A6" w:rsidRDefault="00A3648B" w:rsidP="0066667A">
            <w:pPr>
              <w:jc w:val="center"/>
              <w:rPr>
                <w:rFonts w:asciiTheme="minorHAnsi" w:eastAsia="Calibri" w:hAnsiTheme="minorHAnsi"/>
                <w:sz w:val="24"/>
                <w:szCs w:val="24"/>
              </w:rPr>
            </w:pPr>
            <w:r w:rsidRPr="00D136A6">
              <w:rPr>
                <w:rFonts w:asciiTheme="minorHAnsi" w:eastAsia="Calibri" w:hAnsiTheme="minorHAnsi"/>
                <w:sz w:val="24"/>
                <w:szCs w:val="24"/>
              </w:rPr>
              <w:t>Total</w:t>
            </w:r>
          </w:p>
        </w:tc>
        <w:tc>
          <w:tcPr>
            <w:tcW w:w="1193" w:type="dxa"/>
            <w:tcBorders>
              <w:top w:val="single" w:sz="4" w:space="0" w:color="000000"/>
              <w:left w:val="single" w:sz="4" w:space="0" w:color="000000"/>
              <w:bottom w:val="single" w:sz="4" w:space="0" w:color="000000"/>
            </w:tcBorders>
            <w:shd w:val="clear" w:color="auto" w:fill="auto"/>
          </w:tcPr>
          <w:p w:rsidR="00A3648B" w:rsidRPr="00D136A6" w:rsidRDefault="00A3648B" w:rsidP="0066667A">
            <w:pPr>
              <w:jc w:val="center"/>
              <w:rPr>
                <w:rFonts w:asciiTheme="minorHAnsi" w:eastAsia="Calibri" w:hAnsiTheme="minorHAnsi"/>
                <w:sz w:val="24"/>
                <w:szCs w:val="24"/>
              </w:rPr>
            </w:pPr>
            <w:r w:rsidRPr="00D136A6">
              <w:rPr>
                <w:rFonts w:asciiTheme="minorHAnsi" w:eastAsia="Calibri" w:hAnsiTheme="minorHAnsi"/>
                <w:sz w:val="24"/>
                <w:szCs w:val="24"/>
              </w:rPr>
              <w:t>Moyenne</w:t>
            </w:r>
          </w:p>
        </w:tc>
        <w:tc>
          <w:tcPr>
            <w:tcW w:w="1022" w:type="dxa"/>
            <w:tcBorders>
              <w:top w:val="single" w:sz="4" w:space="0" w:color="000000"/>
              <w:left w:val="single" w:sz="4" w:space="0" w:color="000000"/>
              <w:bottom w:val="single" w:sz="4" w:space="0" w:color="000000"/>
            </w:tcBorders>
            <w:shd w:val="clear" w:color="auto" w:fill="auto"/>
          </w:tcPr>
          <w:p w:rsidR="00A3648B" w:rsidRPr="00D136A6" w:rsidRDefault="00A3648B" w:rsidP="0066667A">
            <w:pPr>
              <w:jc w:val="center"/>
              <w:rPr>
                <w:rFonts w:asciiTheme="minorHAnsi" w:eastAsia="Calibri" w:hAnsiTheme="minorHAnsi"/>
                <w:sz w:val="24"/>
                <w:szCs w:val="24"/>
              </w:rPr>
            </w:pPr>
            <w:r w:rsidRPr="00D136A6">
              <w:rPr>
                <w:rFonts w:asciiTheme="minorHAnsi" w:eastAsia="Calibri" w:hAnsiTheme="minorHAnsi"/>
                <w:sz w:val="24"/>
                <w:szCs w:val="24"/>
              </w:rPr>
              <w:t>Total</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A3648B" w:rsidRPr="00D136A6" w:rsidRDefault="00A3648B" w:rsidP="0066667A">
            <w:pPr>
              <w:jc w:val="center"/>
              <w:rPr>
                <w:rFonts w:asciiTheme="minorHAnsi" w:hAnsiTheme="minorHAnsi"/>
              </w:rPr>
            </w:pPr>
            <w:r w:rsidRPr="00D136A6">
              <w:rPr>
                <w:rFonts w:asciiTheme="minorHAnsi" w:eastAsia="Calibri" w:hAnsiTheme="minorHAnsi"/>
                <w:sz w:val="24"/>
                <w:szCs w:val="24"/>
              </w:rPr>
              <w:t>Moyenne</w:t>
            </w:r>
          </w:p>
        </w:tc>
      </w:tr>
      <w:tr w:rsidR="00A3648B" w:rsidRPr="00D136A6">
        <w:tc>
          <w:tcPr>
            <w:tcW w:w="2218" w:type="dxa"/>
            <w:tcBorders>
              <w:top w:val="single" w:sz="4" w:space="0" w:color="000000"/>
              <w:left w:val="single" w:sz="4" w:space="0" w:color="000000"/>
              <w:bottom w:val="single" w:sz="4" w:space="0" w:color="000000"/>
            </w:tcBorders>
            <w:shd w:val="clear" w:color="auto" w:fill="auto"/>
          </w:tcPr>
          <w:p w:rsidR="00A3648B" w:rsidRPr="00D136A6" w:rsidRDefault="00A3648B" w:rsidP="0066667A">
            <w:pPr>
              <w:rPr>
                <w:rFonts w:asciiTheme="minorHAnsi" w:eastAsia="Calibri" w:hAnsiTheme="minorHAnsi"/>
                <w:sz w:val="24"/>
                <w:szCs w:val="24"/>
              </w:rPr>
            </w:pPr>
            <w:r w:rsidRPr="00D136A6">
              <w:rPr>
                <w:rFonts w:asciiTheme="minorHAnsi" w:eastAsia="Calibri" w:hAnsiTheme="minorHAnsi"/>
                <w:sz w:val="24"/>
                <w:szCs w:val="24"/>
              </w:rPr>
              <w:t>Roumanie</w:t>
            </w:r>
          </w:p>
        </w:tc>
        <w:tc>
          <w:tcPr>
            <w:tcW w:w="1007" w:type="dxa"/>
            <w:tcBorders>
              <w:top w:val="single" w:sz="4" w:space="0" w:color="000000"/>
              <w:left w:val="single" w:sz="4" w:space="0" w:color="000000"/>
              <w:bottom w:val="single" w:sz="4" w:space="0" w:color="000000"/>
            </w:tcBorders>
            <w:shd w:val="clear" w:color="auto" w:fill="auto"/>
          </w:tcPr>
          <w:p w:rsidR="00A3648B" w:rsidRPr="00D136A6" w:rsidRDefault="00A3648B" w:rsidP="0066667A">
            <w:pPr>
              <w:jc w:val="right"/>
              <w:rPr>
                <w:rFonts w:asciiTheme="minorHAnsi" w:eastAsia="Calibri" w:hAnsiTheme="minorHAnsi"/>
                <w:sz w:val="24"/>
                <w:szCs w:val="24"/>
              </w:rPr>
            </w:pPr>
            <w:r w:rsidRPr="00D136A6">
              <w:rPr>
                <w:rFonts w:asciiTheme="minorHAnsi" w:eastAsia="Calibri" w:hAnsiTheme="minorHAnsi"/>
                <w:sz w:val="24"/>
                <w:szCs w:val="24"/>
              </w:rPr>
              <w:t>35</w:t>
            </w:r>
          </w:p>
        </w:tc>
        <w:tc>
          <w:tcPr>
            <w:tcW w:w="1487" w:type="dxa"/>
            <w:tcBorders>
              <w:top w:val="single" w:sz="4" w:space="0" w:color="000000"/>
              <w:left w:val="single" w:sz="4" w:space="0" w:color="000000"/>
              <w:bottom w:val="single" w:sz="4" w:space="0" w:color="000000"/>
            </w:tcBorders>
            <w:shd w:val="clear" w:color="auto" w:fill="auto"/>
          </w:tcPr>
          <w:p w:rsidR="00A3648B" w:rsidRPr="00D136A6" w:rsidRDefault="00A3648B" w:rsidP="0066667A">
            <w:pPr>
              <w:jc w:val="right"/>
              <w:rPr>
                <w:rFonts w:asciiTheme="minorHAnsi" w:eastAsia="Calibri" w:hAnsiTheme="minorHAnsi"/>
                <w:sz w:val="24"/>
                <w:szCs w:val="24"/>
              </w:rPr>
            </w:pPr>
            <w:r w:rsidRPr="00D136A6">
              <w:rPr>
                <w:rFonts w:asciiTheme="minorHAnsi" w:eastAsia="Calibri" w:hAnsiTheme="minorHAnsi"/>
                <w:sz w:val="24"/>
                <w:szCs w:val="24"/>
              </w:rPr>
              <w:t>23</w:t>
            </w:r>
          </w:p>
        </w:tc>
        <w:tc>
          <w:tcPr>
            <w:tcW w:w="894" w:type="dxa"/>
            <w:tcBorders>
              <w:top w:val="single" w:sz="4" w:space="0" w:color="000000"/>
              <w:left w:val="single" w:sz="4" w:space="0" w:color="000000"/>
              <w:bottom w:val="single" w:sz="4" w:space="0" w:color="000000"/>
            </w:tcBorders>
            <w:shd w:val="clear" w:color="auto" w:fill="auto"/>
          </w:tcPr>
          <w:p w:rsidR="00A3648B" w:rsidRPr="00D136A6" w:rsidRDefault="00A3648B" w:rsidP="0066667A">
            <w:pPr>
              <w:jc w:val="right"/>
              <w:rPr>
                <w:rFonts w:asciiTheme="minorHAnsi" w:eastAsia="Calibri" w:hAnsiTheme="minorHAnsi"/>
                <w:sz w:val="24"/>
                <w:szCs w:val="24"/>
              </w:rPr>
            </w:pPr>
            <w:r w:rsidRPr="00D136A6">
              <w:rPr>
                <w:rFonts w:asciiTheme="minorHAnsi" w:eastAsia="Calibri" w:hAnsiTheme="minorHAnsi"/>
                <w:sz w:val="24"/>
                <w:szCs w:val="24"/>
              </w:rPr>
              <w:t>12136</w:t>
            </w:r>
          </w:p>
        </w:tc>
        <w:tc>
          <w:tcPr>
            <w:tcW w:w="1193" w:type="dxa"/>
            <w:tcBorders>
              <w:top w:val="single" w:sz="4" w:space="0" w:color="000000"/>
              <w:left w:val="single" w:sz="4" w:space="0" w:color="000000"/>
              <w:bottom w:val="single" w:sz="4" w:space="0" w:color="000000"/>
            </w:tcBorders>
            <w:shd w:val="clear" w:color="auto" w:fill="auto"/>
          </w:tcPr>
          <w:p w:rsidR="00A3648B" w:rsidRPr="00D136A6" w:rsidRDefault="00A3648B" w:rsidP="0066667A">
            <w:pPr>
              <w:jc w:val="right"/>
              <w:rPr>
                <w:rFonts w:asciiTheme="minorHAnsi" w:eastAsia="Calibri" w:hAnsiTheme="minorHAnsi"/>
                <w:sz w:val="24"/>
                <w:szCs w:val="24"/>
              </w:rPr>
            </w:pPr>
            <w:r w:rsidRPr="00D136A6">
              <w:rPr>
                <w:rFonts w:asciiTheme="minorHAnsi" w:eastAsia="Calibri" w:hAnsiTheme="minorHAnsi"/>
                <w:sz w:val="24"/>
                <w:szCs w:val="24"/>
              </w:rPr>
              <w:t>346</w:t>
            </w:r>
          </w:p>
        </w:tc>
        <w:tc>
          <w:tcPr>
            <w:tcW w:w="1022" w:type="dxa"/>
            <w:tcBorders>
              <w:top w:val="single" w:sz="4" w:space="0" w:color="000000"/>
              <w:left w:val="single" w:sz="4" w:space="0" w:color="000000"/>
              <w:bottom w:val="single" w:sz="4" w:space="0" w:color="000000"/>
            </w:tcBorders>
            <w:shd w:val="clear" w:color="auto" w:fill="auto"/>
          </w:tcPr>
          <w:p w:rsidR="00A3648B" w:rsidRPr="00D136A6" w:rsidRDefault="00A3648B" w:rsidP="0066667A">
            <w:pPr>
              <w:jc w:val="right"/>
              <w:rPr>
                <w:rFonts w:asciiTheme="minorHAnsi" w:eastAsia="Calibri" w:hAnsiTheme="minorHAnsi"/>
                <w:sz w:val="24"/>
                <w:szCs w:val="24"/>
              </w:rPr>
            </w:pPr>
            <w:r w:rsidRPr="00D136A6">
              <w:rPr>
                <w:rFonts w:asciiTheme="minorHAnsi" w:eastAsia="Calibri" w:hAnsiTheme="minorHAnsi"/>
                <w:sz w:val="24"/>
                <w:szCs w:val="24"/>
              </w:rPr>
              <w:t>1890,20</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A3648B" w:rsidRPr="00D136A6" w:rsidRDefault="00A3648B" w:rsidP="0066667A">
            <w:pPr>
              <w:jc w:val="right"/>
              <w:rPr>
                <w:rFonts w:asciiTheme="minorHAnsi" w:hAnsiTheme="minorHAnsi"/>
              </w:rPr>
            </w:pPr>
            <w:r w:rsidRPr="00D136A6">
              <w:rPr>
                <w:rFonts w:asciiTheme="minorHAnsi" w:eastAsia="Calibri" w:hAnsiTheme="minorHAnsi"/>
                <w:sz w:val="24"/>
                <w:szCs w:val="24"/>
              </w:rPr>
              <w:t>54,00</w:t>
            </w:r>
          </w:p>
        </w:tc>
      </w:tr>
      <w:tr w:rsidR="00A3648B" w:rsidRPr="00D136A6">
        <w:tc>
          <w:tcPr>
            <w:tcW w:w="2218" w:type="dxa"/>
            <w:tcBorders>
              <w:top w:val="single" w:sz="4" w:space="0" w:color="000000"/>
              <w:left w:val="single" w:sz="4" w:space="0" w:color="000000"/>
              <w:bottom w:val="single" w:sz="4" w:space="0" w:color="000000"/>
            </w:tcBorders>
            <w:shd w:val="clear" w:color="auto" w:fill="auto"/>
          </w:tcPr>
          <w:p w:rsidR="00A3648B" w:rsidRPr="00D136A6" w:rsidRDefault="00A3648B" w:rsidP="0066667A">
            <w:pPr>
              <w:rPr>
                <w:rFonts w:asciiTheme="minorHAnsi" w:eastAsia="Calibri" w:hAnsiTheme="minorHAnsi"/>
                <w:sz w:val="24"/>
                <w:szCs w:val="24"/>
              </w:rPr>
            </w:pPr>
            <w:r w:rsidRPr="00D136A6">
              <w:rPr>
                <w:rFonts w:asciiTheme="minorHAnsi" w:eastAsia="Calibri" w:hAnsiTheme="minorHAnsi"/>
                <w:sz w:val="24"/>
                <w:szCs w:val="24"/>
              </w:rPr>
              <w:t>Bulgarie</w:t>
            </w:r>
          </w:p>
        </w:tc>
        <w:tc>
          <w:tcPr>
            <w:tcW w:w="1007" w:type="dxa"/>
            <w:tcBorders>
              <w:top w:val="single" w:sz="4" w:space="0" w:color="000000"/>
              <w:left w:val="single" w:sz="4" w:space="0" w:color="000000"/>
              <w:bottom w:val="single" w:sz="4" w:space="0" w:color="000000"/>
            </w:tcBorders>
            <w:shd w:val="clear" w:color="auto" w:fill="auto"/>
          </w:tcPr>
          <w:p w:rsidR="00A3648B" w:rsidRPr="00D136A6" w:rsidRDefault="00A3648B" w:rsidP="0066667A">
            <w:pPr>
              <w:jc w:val="right"/>
              <w:rPr>
                <w:rFonts w:asciiTheme="minorHAnsi" w:eastAsia="Calibri" w:hAnsiTheme="minorHAnsi"/>
                <w:sz w:val="24"/>
                <w:szCs w:val="24"/>
              </w:rPr>
            </w:pPr>
            <w:r w:rsidRPr="00D136A6">
              <w:rPr>
                <w:rFonts w:asciiTheme="minorHAnsi" w:eastAsia="Calibri" w:hAnsiTheme="minorHAnsi"/>
                <w:sz w:val="24"/>
                <w:szCs w:val="24"/>
              </w:rPr>
              <w:t>16</w:t>
            </w:r>
          </w:p>
        </w:tc>
        <w:tc>
          <w:tcPr>
            <w:tcW w:w="1487" w:type="dxa"/>
            <w:tcBorders>
              <w:top w:val="single" w:sz="4" w:space="0" w:color="000000"/>
              <w:left w:val="single" w:sz="4" w:space="0" w:color="000000"/>
              <w:bottom w:val="single" w:sz="4" w:space="0" w:color="000000"/>
            </w:tcBorders>
            <w:shd w:val="clear" w:color="auto" w:fill="auto"/>
          </w:tcPr>
          <w:p w:rsidR="00A3648B" w:rsidRPr="00D136A6" w:rsidRDefault="00A3648B" w:rsidP="0066667A">
            <w:pPr>
              <w:jc w:val="right"/>
              <w:rPr>
                <w:rFonts w:asciiTheme="minorHAnsi" w:eastAsia="Calibri" w:hAnsiTheme="minorHAnsi"/>
                <w:sz w:val="24"/>
                <w:szCs w:val="24"/>
              </w:rPr>
            </w:pPr>
            <w:r w:rsidRPr="00D136A6">
              <w:rPr>
                <w:rFonts w:asciiTheme="minorHAnsi" w:eastAsia="Calibri" w:hAnsiTheme="minorHAnsi"/>
                <w:sz w:val="24"/>
                <w:szCs w:val="24"/>
              </w:rPr>
              <w:t>14</w:t>
            </w:r>
          </w:p>
        </w:tc>
        <w:tc>
          <w:tcPr>
            <w:tcW w:w="894" w:type="dxa"/>
            <w:tcBorders>
              <w:top w:val="single" w:sz="4" w:space="0" w:color="000000"/>
              <w:left w:val="single" w:sz="4" w:space="0" w:color="000000"/>
              <w:bottom w:val="single" w:sz="4" w:space="0" w:color="000000"/>
            </w:tcBorders>
            <w:shd w:val="clear" w:color="auto" w:fill="auto"/>
          </w:tcPr>
          <w:p w:rsidR="00A3648B" w:rsidRPr="00D136A6" w:rsidRDefault="00A3648B" w:rsidP="0066667A">
            <w:pPr>
              <w:jc w:val="right"/>
              <w:rPr>
                <w:rFonts w:asciiTheme="minorHAnsi" w:eastAsia="Calibri" w:hAnsiTheme="minorHAnsi"/>
                <w:sz w:val="24"/>
                <w:szCs w:val="24"/>
              </w:rPr>
            </w:pPr>
            <w:r w:rsidRPr="00D136A6">
              <w:rPr>
                <w:rFonts w:asciiTheme="minorHAnsi" w:eastAsia="Calibri" w:hAnsiTheme="minorHAnsi"/>
                <w:sz w:val="24"/>
                <w:szCs w:val="24"/>
              </w:rPr>
              <w:t>5097</w:t>
            </w:r>
          </w:p>
        </w:tc>
        <w:tc>
          <w:tcPr>
            <w:tcW w:w="1193" w:type="dxa"/>
            <w:tcBorders>
              <w:top w:val="single" w:sz="4" w:space="0" w:color="000000"/>
              <w:left w:val="single" w:sz="4" w:space="0" w:color="000000"/>
              <w:bottom w:val="single" w:sz="4" w:space="0" w:color="000000"/>
            </w:tcBorders>
            <w:shd w:val="clear" w:color="auto" w:fill="auto"/>
          </w:tcPr>
          <w:p w:rsidR="00A3648B" w:rsidRPr="00D136A6" w:rsidRDefault="00A3648B" w:rsidP="0066667A">
            <w:pPr>
              <w:jc w:val="right"/>
              <w:rPr>
                <w:rFonts w:asciiTheme="minorHAnsi" w:eastAsia="Calibri" w:hAnsiTheme="minorHAnsi"/>
                <w:sz w:val="24"/>
                <w:szCs w:val="24"/>
              </w:rPr>
            </w:pPr>
            <w:r w:rsidRPr="00D136A6">
              <w:rPr>
                <w:rFonts w:asciiTheme="minorHAnsi" w:eastAsia="Calibri" w:hAnsiTheme="minorHAnsi"/>
                <w:sz w:val="24"/>
                <w:szCs w:val="24"/>
              </w:rPr>
              <w:t>318</w:t>
            </w:r>
          </w:p>
        </w:tc>
        <w:tc>
          <w:tcPr>
            <w:tcW w:w="1022" w:type="dxa"/>
            <w:tcBorders>
              <w:top w:val="single" w:sz="4" w:space="0" w:color="000000"/>
              <w:left w:val="single" w:sz="4" w:space="0" w:color="000000"/>
              <w:bottom w:val="single" w:sz="4" w:space="0" w:color="000000"/>
            </w:tcBorders>
            <w:shd w:val="clear" w:color="auto" w:fill="auto"/>
          </w:tcPr>
          <w:p w:rsidR="00A3648B" w:rsidRPr="00D136A6" w:rsidRDefault="00A3648B" w:rsidP="0066667A">
            <w:pPr>
              <w:jc w:val="right"/>
              <w:rPr>
                <w:rFonts w:asciiTheme="minorHAnsi" w:eastAsia="Calibri" w:hAnsiTheme="minorHAnsi"/>
                <w:sz w:val="24"/>
                <w:szCs w:val="24"/>
              </w:rPr>
            </w:pPr>
            <w:r w:rsidRPr="00D136A6">
              <w:rPr>
                <w:rFonts w:asciiTheme="minorHAnsi" w:eastAsia="Calibri" w:hAnsiTheme="minorHAnsi"/>
                <w:sz w:val="24"/>
                <w:szCs w:val="24"/>
              </w:rPr>
              <w:t>211320</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A3648B" w:rsidRPr="00D136A6" w:rsidRDefault="00A3648B" w:rsidP="0066667A">
            <w:pPr>
              <w:jc w:val="right"/>
              <w:rPr>
                <w:rFonts w:asciiTheme="minorHAnsi" w:hAnsiTheme="minorHAnsi"/>
              </w:rPr>
            </w:pPr>
            <w:r w:rsidRPr="00D136A6">
              <w:rPr>
                <w:rFonts w:asciiTheme="minorHAnsi" w:eastAsia="Calibri" w:hAnsiTheme="minorHAnsi"/>
                <w:sz w:val="24"/>
                <w:szCs w:val="24"/>
              </w:rPr>
              <w:t>132,10</w:t>
            </w:r>
          </w:p>
        </w:tc>
      </w:tr>
      <w:tr w:rsidR="00A3648B" w:rsidRPr="00D136A6">
        <w:tc>
          <w:tcPr>
            <w:tcW w:w="2218" w:type="dxa"/>
            <w:tcBorders>
              <w:top w:val="single" w:sz="4" w:space="0" w:color="000000"/>
              <w:left w:val="single" w:sz="4" w:space="0" w:color="000000"/>
              <w:bottom w:val="single" w:sz="4" w:space="0" w:color="000000"/>
            </w:tcBorders>
            <w:shd w:val="clear" w:color="auto" w:fill="auto"/>
          </w:tcPr>
          <w:p w:rsidR="00A3648B" w:rsidRPr="00D136A6" w:rsidRDefault="00A3648B" w:rsidP="0066667A">
            <w:pPr>
              <w:rPr>
                <w:rFonts w:asciiTheme="minorHAnsi" w:eastAsia="Calibri" w:hAnsiTheme="minorHAnsi"/>
                <w:sz w:val="24"/>
                <w:szCs w:val="24"/>
              </w:rPr>
            </w:pPr>
            <w:r w:rsidRPr="00D136A6">
              <w:rPr>
                <w:rFonts w:asciiTheme="minorHAnsi" w:eastAsia="Calibri" w:hAnsiTheme="minorHAnsi"/>
                <w:sz w:val="24"/>
                <w:szCs w:val="24"/>
              </w:rPr>
              <w:t>Grèce</w:t>
            </w:r>
          </w:p>
        </w:tc>
        <w:tc>
          <w:tcPr>
            <w:tcW w:w="1007" w:type="dxa"/>
            <w:tcBorders>
              <w:top w:val="single" w:sz="4" w:space="0" w:color="000000"/>
              <w:left w:val="single" w:sz="4" w:space="0" w:color="000000"/>
              <w:bottom w:val="single" w:sz="4" w:space="0" w:color="000000"/>
            </w:tcBorders>
            <w:shd w:val="clear" w:color="auto" w:fill="auto"/>
          </w:tcPr>
          <w:p w:rsidR="00A3648B" w:rsidRPr="00D136A6" w:rsidRDefault="00A3648B" w:rsidP="0066667A">
            <w:pPr>
              <w:jc w:val="right"/>
              <w:rPr>
                <w:rFonts w:asciiTheme="minorHAnsi" w:eastAsia="Calibri" w:hAnsiTheme="minorHAnsi"/>
                <w:sz w:val="24"/>
                <w:szCs w:val="24"/>
              </w:rPr>
            </w:pPr>
            <w:r w:rsidRPr="00D136A6">
              <w:rPr>
                <w:rFonts w:asciiTheme="minorHAnsi" w:eastAsia="Calibri" w:hAnsiTheme="minorHAnsi"/>
                <w:sz w:val="24"/>
                <w:szCs w:val="24"/>
              </w:rPr>
              <w:t>13</w:t>
            </w:r>
          </w:p>
        </w:tc>
        <w:tc>
          <w:tcPr>
            <w:tcW w:w="1487" w:type="dxa"/>
            <w:tcBorders>
              <w:top w:val="single" w:sz="4" w:space="0" w:color="000000"/>
              <w:left w:val="single" w:sz="4" w:space="0" w:color="000000"/>
              <w:bottom w:val="single" w:sz="4" w:space="0" w:color="000000"/>
            </w:tcBorders>
            <w:shd w:val="clear" w:color="auto" w:fill="auto"/>
          </w:tcPr>
          <w:p w:rsidR="00A3648B" w:rsidRPr="00D136A6" w:rsidRDefault="00A3648B" w:rsidP="0066667A">
            <w:pPr>
              <w:jc w:val="right"/>
              <w:rPr>
                <w:rFonts w:asciiTheme="minorHAnsi" w:eastAsia="Calibri" w:hAnsiTheme="minorHAnsi"/>
                <w:sz w:val="24"/>
                <w:szCs w:val="24"/>
              </w:rPr>
            </w:pPr>
            <w:r w:rsidRPr="00D136A6">
              <w:rPr>
                <w:rFonts w:asciiTheme="minorHAnsi" w:eastAsia="Calibri" w:hAnsiTheme="minorHAnsi"/>
                <w:sz w:val="24"/>
                <w:szCs w:val="24"/>
              </w:rPr>
              <w:t>9</w:t>
            </w:r>
          </w:p>
        </w:tc>
        <w:tc>
          <w:tcPr>
            <w:tcW w:w="894" w:type="dxa"/>
            <w:tcBorders>
              <w:top w:val="single" w:sz="4" w:space="0" w:color="000000"/>
              <w:left w:val="single" w:sz="4" w:space="0" w:color="000000"/>
              <w:bottom w:val="single" w:sz="4" w:space="0" w:color="000000"/>
            </w:tcBorders>
            <w:shd w:val="clear" w:color="auto" w:fill="auto"/>
          </w:tcPr>
          <w:p w:rsidR="00A3648B" w:rsidRPr="00D136A6" w:rsidRDefault="00A3648B" w:rsidP="0066667A">
            <w:pPr>
              <w:jc w:val="right"/>
              <w:rPr>
                <w:rFonts w:asciiTheme="minorHAnsi" w:eastAsia="Calibri" w:hAnsiTheme="minorHAnsi"/>
                <w:sz w:val="24"/>
                <w:szCs w:val="24"/>
              </w:rPr>
            </w:pPr>
            <w:r w:rsidRPr="00D136A6">
              <w:rPr>
                <w:rFonts w:asciiTheme="minorHAnsi" w:eastAsia="Calibri" w:hAnsiTheme="minorHAnsi"/>
                <w:sz w:val="24"/>
                <w:szCs w:val="24"/>
              </w:rPr>
              <w:t>1339</w:t>
            </w:r>
          </w:p>
        </w:tc>
        <w:tc>
          <w:tcPr>
            <w:tcW w:w="1193" w:type="dxa"/>
            <w:tcBorders>
              <w:top w:val="single" w:sz="4" w:space="0" w:color="000000"/>
              <w:left w:val="single" w:sz="4" w:space="0" w:color="000000"/>
              <w:bottom w:val="single" w:sz="4" w:space="0" w:color="000000"/>
            </w:tcBorders>
            <w:shd w:val="clear" w:color="auto" w:fill="auto"/>
          </w:tcPr>
          <w:p w:rsidR="00A3648B" w:rsidRPr="00D136A6" w:rsidRDefault="00A3648B" w:rsidP="0066667A">
            <w:pPr>
              <w:jc w:val="right"/>
              <w:rPr>
                <w:rFonts w:asciiTheme="minorHAnsi" w:eastAsia="Calibri" w:hAnsiTheme="minorHAnsi"/>
                <w:sz w:val="24"/>
                <w:szCs w:val="24"/>
              </w:rPr>
            </w:pPr>
            <w:r w:rsidRPr="00D136A6">
              <w:rPr>
                <w:rFonts w:asciiTheme="minorHAnsi" w:eastAsia="Calibri" w:hAnsiTheme="minorHAnsi"/>
                <w:sz w:val="24"/>
                <w:szCs w:val="24"/>
              </w:rPr>
              <w:t>103</w:t>
            </w:r>
          </w:p>
        </w:tc>
        <w:tc>
          <w:tcPr>
            <w:tcW w:w="1022" w:type="dxa"/>
            <w:tcBorders>
              <w:top w:val="single" w:sz="4" w:space="0" w:color="000000"/>
              <w:left w:val="single" w:sz="4" w:space="0" w:color="000000"/>
              <w:bottom w:val="single" w:sz="4" w:space="0" w:color="000000"/>
            </w:tcBorders>
            <w:shd w:val="clear" w:color="auto" w:fill="auto"/>
          </w:tcPr>
          <w:p w:rsidR="00A3648B" w:rsidRPr="00D136A6" w:rsidRDefault="00A3648B" w:rsidP="0066667A">
            <w:pPr>
              <w:jc w:val="right"/>
              <w:rPr>
                <w:rFonts w:asciiTheme="minorHAnsi" w:eastAsia="Calibri" w:hAnsiTheme="minorHAnsi"/>
                <w:sz w:val="24"/>
                <w:szCs w:val="24"/>
              </w:rPr>
            </w:pPr>
            <w:r w:rsidRPr="00D136A6">
              <w:rPr>
                <w:rFonts w:asciiTheme="minorHAnsi" w:eastAsia="Calibri" w:hAnsiTheme="minorHAnsi"/>
                <w:sz w:val="24"/>
                <w:szCs w:val="24"/>
              </w:rPr>
              <w:t>648,30</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A3648B" w:rsidRPr="00D136A6" w:rsidRDefault="00A3648B" w:rsidP="0066667A">
            <w:pPr>
              <w:jc w:val="right"/>
              <w:rPr>
                <w:rFonts w:asciiTheme="minorHAnsi" w:hAnsiTheme="minorHAnsi"/>
              </w:rPr>
            </w:pPr>
            <w:r w:rsidRPr="00D136A6">
              <w:rPr>
                <w:rFonts w:asciiTheme="minorHAnsi" w:eastAsia="Calibri" w:hAnsiTheme="minorHAnsi"/>
                <w:sz w:val="24"/>
                <w:szCs w:val="24"/>
              </w:rPr>
              <w:t>49,90</w:t>
            </w:r>
          </w:p>
        </w:tc>
      </w:tr>
      <w:tr w:rsidR="00A3648B" w:rsidRPr="00D136A6">
        <w:tc>
          <w:tcPr>
            <w:tcW w:w="2218" w:type="dxa"/>
            <w:tcBorders>
              <w:top w:val="single" w:sz="4" w:space="0" w:color="000000"/>
              <w:left w:val="single" w:sz="4" w:space="0" w:color="000000"/>
              <w:bottom w:val="single" w:sz="4" w:space="0" w:color="000000"/>
            </w:tcBorders>
            <w:shd w:val="clear" w:color="auto" w:fill="auto"/>
          </w:tcPr>
          <w:p w:rsidR="00A3648B" w:rsidRPr="00D136A6" w:rsidRDefault="00A3648B" w:rsidP="0066667A">
            <w:pPr>
              <w:rPr>
                <w:rFonts w:asciiTheme="minorHAnsi" w:eastAsia="Calibri" w:hAnsiTheme="minorHAnsi"/>
                <w:sz w:val="24"/>
                <w:szCs w:val="24"/>
              </w:rPr>
            </w:pPr>
            <w:r w:rsidRPr="00D136A6">
              <w:rPr>
                <w:rFonts w:asciiTheme="minorHAnsi" w:eastAsia="Calibri" w:hAnsiTheme="minorHAnsi"/>
                <w:sz w:val="24"/>
                <w:szCs w:val="24"/>
              </w:rPr>
              <w:t>Serbie</w:t>
            </w:r>
          </w:p>
        </w:tc>
        <w:tc>
          <w:tcPr>
            <w:tcW w:w="1007" w:type="dxa"/>
            <w:tcBorders>
              <w:top w:val="single" w:sz="4" w:space="0" w:color="000000"/>
              <w:left w:val="single" w:sz="4" w:space="0" w:color="000000"/>
              <w:bottom w:val="single" w:sz="4" w:space="0" w:color="000000"/>
            </w:tcBorders>
            <w:shd w:val="clear" w:color="auto" w:fill="auto"/>
          </w:tcPr>
          <w:p w:rsidR="00A3648B" w:rsidRPr="00D136A6" w:rsidRDefault="00A3648B" w:rsidP="0066667A">
            <w:pPr>
              <w:jc w:val="right"/>
              <w:rPr>
                <w:rFonts w:asciiTheme="minorHAnsi" w:eastAsia="Calibri" w:hAnsiTheme="minorHAnsi"/>
                <w:sz w:val="24"/>
                <w:szCs w:val="24"/>
              </w:rPr>
            </w:pPr>
            <w:r w:rsidRPr="00D136A6">
              <w:rPr>
                <w:rFonts w:asciiTheme="minorHAnsi" w:eastAsia="Calibri" w:hAnsiTheme="minorHAnsi"/>
                <w:sz w:val="24"/>
                <w:szCs w:val="24"/>
              </w:rPr>
              <w:t>2</w:t>
            </w:r>
          </w:p>
        </w:tc>
        <w:tc>
          <w:tcPr>
            <w:tcW w:w="1487" w:type="dxa"/>
            <w:tcBorders>
              <w:top w:val="single" w:sz="4" w:space="0" w:color="000000"/>
              <w:left w:val="single" w:sz="4" w:space="0" w:color="000000"/>
              <w:bottom w:val="single" w:sz="4" w:space="0" w:color="000000"/>
            </w:tcBorders>
            <w:shd w:val="clear" w:color="auto" w:fill="auto"/>
          </w:tcPr>
          <w:p w:rsidR="00A3648B" w:rsidRPr="00D136A6" w:rsidRDefault="00A3648B" w:rsidP="0066667A">
            <w:pPr>
              <w:jc w:val="right"/>
              <w:rPr>
                <w:rFonts w:asciiTheme="minorHAnsi" w:eastAsia="Calibri" w:hAnsiTheme="minorHAnsi"/>
                <w:sz w:val="24"/>
                <w:szCs w:val="24"/>
              </w:rPr>
            </w:pPr>
            <w:r w:rsidRPr="00D136A6">
              <w:rPr>
                <w:rFonts w:asciiTheme="minorHAnsi" w:eastAsia="Calibri" w:hAnsiTheme="minorHAnsi"/>
                <w:sz w:val="24"/>
                <w:szCs w:val="24"/>
              </w:rPr>
              <w:t>2</w:t>
            </w:r>
          </w:p>
        </w:tc>
        <w:tc>
          <w:tcPr>
            <w:tcW w:w="894" w:type="dxa"/>
            <w:tcBorders>
              <w:top w:val="single" w:sz="4" w:space="0" w:color="000000"/>
              <w:left w:val="single" w:sz="4" w:space="0" w:color="000000"/>
              <w:bottom w:val="single" w:sz="4" w:space="0" w:color="000000"/>
            </w:tcBorders>
            <w:shd w:val="clear" w:color="auto" w:fill="auto"/>
          </w:tcPr>
          <w:p w:rsidR="00A3648B" w:rsidRPr="00D136A6" w:rsidRDefault="00A3648B" w:rsidP="0066667A">
            <w:pPr>
              <w:jc w:val="right"/>
              <w:rPr>
                <w:rFonts w:asciiTheme="minorHAnsi" w:eastAsia="Calibri" w:hAnsiTheme="minorHAnsi"/>
                <w:sz w:val="24"/>
                <w:szCs w:val="24"/>
              </w:rPr>
            </w:pPr>
            <w:r w:rsidRPr="00D136A6">
              <w:rPr>
                <w:rFonts w:asciiTheme="minorHAnsi" w:eastAsia="Calibri" w:hAnsiTheme="minorHAnsi"/>
                <w:sz w:val="24"/>
                <w:szCs w:val="24"/>
              </w:rPr>
              <w:t>59</w:t>
            </w:r>
          </w:p>
        </w:tc>
        <w:tc>
          <w:tcPr>
            <w:tcW w:w="1193" w:type="dxa"/>
            <w:tcBorders>
              <w:top w:val="single" w:sz="4" w:space="0" w:color="000000"/>
              <w:left w:val="single" w:sz="4" w:space="0" w:color="000000"/>
              <w:bottom w:val="single" w:sz="4" w:space="0" w:color="000000"/>
            </w:tcBorders>
            <w:shd w:val="clear" w:color="auto" w:fill="auto"/>
          </w:tcPr>
          <w:p w:rsidR="00A3648B" w:rsidRPr="00D136A6" w:rsidRDefault="00A3648B" w:rsidP="0066667A">
            <w:pPr>
              <w:jc w:val="right"/>
              <w:rPr>
                <w:rFonts w:asciiTheme="minorHAnsi" w:eastAsia="Calibri" w:hAnsiTheme="minorHAnsi"/>
                <w:sz w:val="24"/>
                <w:szCs w:val="24"/>
              </w:rPr>
            </w:pPr>
            <w:r w:rsidRPr="00D136A6">
              <w:rPr>
                <w:rFonts w:asciiTheme="minorHAnsi" w:eastAsia="Calibri" w:hAnsiTheme="minorHAnsi"/>
                <w:sz w:val="24"/>
                <w:szCs w:val="24"/>
              </w:rPr>
              <w:t>29</w:t>
            </w:r>
          </w:p>
        </w:tc>
        <w:tc>
          <w:tcPr>
            <w:tcW w:w="1022" w:type="dxa"/>
            <w:tcBorders>
              <w:top w:val="single" w:sz="4" w:space="0" w:color="000000"/>
              <w:left w:val="single" w:sz="4" w:space="0" w:color="000000"/>
              <w:bottom w:val="single" w:sz="4" w:space="0" w:color="000000"/>
            </w:tcBorders>
            <w:shd w:val="clear" w:color="auto" w:fill="auto"/>
          </w:tcPr>
          <w:p w:rsidR="00A3648B" w:rsidRPr="00D136A6" w:rsidRDefault="00A3648B" w:rsidP="0066667A">
            <w:pPr>
              <w:jc w:val="right"/>
              <w:rPr>
                <w:rFonts w:asciiTheme="minorHAnsi" w:eastAsia="Calibri" w:hAnsiTheme="minorHAnsi"/>
                <w:sz w:val="24"/>
                <w:szCs w:val="24"/>
              </w:rPr>
            </w:pPr>
            <w:r w:rsidRPr="00D136A6">
              <w:rPr>
                <w:rFonts w:asciiTheme="minorHAnsi" w:eastAsia="Calibri" w:hAnsiTheme="minorHAnsi"/>
                <w:sz w:val="24"/>
                <w:szCs w:val="24"/>
              </w:rPr>
              <w:t>154,60</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A3648B" w:rsidRPr="00D136A6" w:rsidRDefault="00A3648B" w:rsidP="0066667A">
            <w:pPr>
              <w:jc w:val="right"/>
              <w:rPr>
                <w:rFonts w:asciiTheme="minorHAnsi" w:hAnsiTheme="minorHAnsi"/>
              </w:rPr>
            </w:pPr>
            <w:r w:rsidRPr="00D136A6">
              <w:rPr>
                <w:rFonts w:asciiTheme="minorHAnsi" w:eastAsia="Calibri" w:hAnsiTheme="minorHAnsi"/>
                <w:sz w:val="24"/>
                <w:szCs w:val="24"/>
              </w:rPr>
              <w:t>77,20</w:t>
            </w:r>
          </w:p>
        </w:tc>
      </w:tr>
      <w:tr w:rsidR="00A3648B" w:rsidRPr="00D136A6">
        <w:tc>
          <w:tcPr>
            <w:tcW w:w="2218" w:type="dxa"/>
            <w:tcBorders>
              <w:top w:val="single" w:sz="4" w:space="0" w:color="000000"/>
              <w:left w:val="single" w:sz="4" w:space="0" w:color="000000"/>
              <w:bottom w:val="single" w:sz="4" w:space="0" w:color="000000"/>
            </w:tcBorders>
            <w:shd w:val="clear" w:color="auto" w:fill="auto"/>
          </w:tcPr>
          <w:p w:rsidR="00A3648B" w:rsidRPr="00D136A6" w:rsidRDefault="00A3648B" w:rsidP="0066667A">
            <w:pPr>
              <w:rPr>
                <w:rFonts w:asciiTheme="minorHAnsi" w:eastAsia="Calibri" w:hAnsiTheme="minorHAnsi"/>
                <w:sz w:val="24"/>
                <w:szCs w:val="24"/>
              </w:rPr>
            </w:pPr>
            <w:r w:rsidRPr="00D136A6">
              <w:rPr>
                <w:rFonts w:asciiTheme="minorHAnsi" w:eastAsia="Calibri" w:hAnsiTheme="minorHAnsi"/>
                <w:sz w:val="24"/>
                <w:szCs w:val="24"/>
              </w:rPr>
              <w:t>Bosnie-Herzegovine</w:t>
            </w:r>
          </w:p>
        </w:tc>
        <w:tc>
          <w:tcPr>
            <w:tcW w:w="1007" w:type="dxa"/>
            <w:tcBorders>
              <w:top w:val="single" w:sz="4" w:space="0" w:color="000000"/>
              <w:left w:val="single" w:sz="4" w:space="0" w:color="000000"/>
              <w:bottom w:val="single" w:sz="4" w:space="0" w:color="000000"/>
            </w:tcBorders>
            <w:shd w:val="clear" w:color="auto" w:fill="auto"/>
          </w:tcPr>
          <w:p w:rsidR="00A3648B" w:rsidRPr="00D136A6" w:rsidRDefault="00A3648B" w:rsidP="0066667A">
            <w:pPr>
              <w:jc w:val="right"/>
              <w:rPr>
                <w:rFonts w:asciiTheme="minorHAnsi" w:eastAsia="Calibri" w:hAnsiTheme="minorHAnsi"/>
                <w:sz w:val="24"/>
                <w:szCs w:val="24"/>
              </w:rPr>
            </w:pPr>
            <w:r w:rsidRPr="00D136A6">
              <w:rPr>
                <w:rFonts w:asciiTheme="minorHAnsi" w:eastAsia="Calibri" w:hAnsiTheme="minorHAnsi"/>
                <w:sz w:val="24"/>
                <w:szCs w:val="24"/>
              </w:rPr>
              <w:t>2</w:t>
            </w:r>
          </w:p>
        </w:tc>
        <w:tc>
          <w:tcPr>
            <w:tcW w:w="1487" w:type="dxa"/>
            <w:tcBorders>
              <w:top w:val="single" w:sz="4" w:space="0" w:color="000000"/>
              <w:left w:val="single" w:sz="4" w:space="0" w:color="000000"/>
              <w:bottom w:val="single" w:sz="4" w:space="0" w:color="000000"/>
            </w:tcBorders>
            <w:shd w:val="clear" w:color="auto" w:fill="auto"/>
          </w:tcPr>
          <w:p w:rsidR="00A3648B" w:rsidRPr="00D136A6" w:rsidRDefault="00A3648B" w:rsidP="0066667A">
            <w:pPr>
              <w:jc w:val="right"/>
              <w:rPr>
                <w:rFonts w:asciiTheme="minorHAnsi" w:eastAsia="Calibri" w:hAnsiTheme="minorHAnsi"/>
                <w:sz w:val="24"/>
                <w:szCs w:val="24"/>
              </w:rPr>
            </w:pPr>
            <w:r w:rsidRPr="00D136A6">
              <w:rPr>
                <w:rFonts w:asciiTheme="minorHAnsi" w:eastAsia="Calibri" w:hAnsiTheme="minorHAnsi"/>
                <w:sz w:val="24"/>
                <w:szCs w:val="24"/>
              </w:rPr>
              <w:t>2</w:t>
            </w:r>
          </w:p>
        </w:tc>
        <w:tc>
          <w:tcPr>
            <w:tcW w:w="894" w:type="dxa"/>
            <w:tcBorders>
              <w:top w:val="single" w:sz="4" w:space="0" w:color="000000"/>
              <w:left w:val="single" w:sz="4" w:space="0" w:color="000000"/>
              <w:bottom w:val="single" w:sz="4" w:space="0" w:color="000000"/>
            </w:tcBorders>
            <w:shd w:val="clear" w:color="auto" w:fill="auto"/>
          </w:tcPr>
          <w:p w:rsidR="00A3648B" w:rsidRPr="00D136A6" w:rsidRDefault="00A3648B" w:rsidP="0066667A">
            <w:pPr>
              <w:jc w:val="right"/>
              <w:rPr>
                <w:rFonts w:asciiTheme="minorHAnsi" w:eastAsia="Calibri" w:hAnsiTheme="minorHAnsi"/>
                <w:sz w:val="24"/>
                <w:szCs w:val="24"/>
              </w:rPr>
            </w:pPr>
            <w:r w:rsidRPr="00D136A6">
              <w:rPr>
                <w:rFonts w:asciiTheme="minorHAnsi" w:eastAsia="Calibri" w:hAnsiTheme="minorHAnsi"/>
                <w:sz w:val="24"/>
                <w:szCs w:val="24"/>
              </w:rPr>
              <w:t>595</w:t>
            </w:r>
          </w:p>
        </w:tc>
        <w:tc>
          <w:tcPr>
            <w:tcW w:w="1193" w:type="dxa"/>
            <w:tcBorders>
              <w:top w:val="single" w:sz="4" w:space="0" w:color="000000"/>
              <w:left w:val="single" w:sz="4" w:space="0" w:color="000000"/>
              <w:bottom w:val="single" w:sz="4" w:space="0" w:color="000000"/>
            </w:tcBorders>
            <w:shd w:val="clear" w:color="auto" w:fill="auto"/>
          </w:tcPr>
          <w:p w:rsidR="00A3648B" w:rsidRPr="00D136A6" w:rsidRDefault="00A3648B" w:rsidP="0066667A">
            <w:pPr>
              <w:jc w:val="right"/>
              <w:rPr>
                <w:rFonts w:asciiTheme="minorHAnsi" w:eastAsia="Calibri" w:hAnsiTheme="minorHAnsi"/>
                <w:sz w:val="24"/>
                <w:szCs w:val="24"/>
              </w:rPr>
            </w:pPr>
            <w:r w:rsidRPr="00D136A6">
              <w:rPr>
                <w:rFonts w:asciiTheme="minorHAnsi" w:eastAsia="Calibri" w:hAnsiTheme="minorHAnsi"/>
                <w:sz w:val="24"/>
                <w:szCs w:val="24"/>
              </w:rPr>
              <w:t>297</w:t>
            </w:r>
          </w:p>
        </w:tc>
        <w:tc>
          <w:tcPr>
            <w:tcW w:w="1022" w:type="dxa"/>
            <w:tcBorders>
              <w:top w:val="single" w:sz="4" w:space="0" w:color="000000"/>
              <w:left w:val="single" w:sz="4" w:space="0" w:color="000000"/>
              <w:bottom w:val="single" w:sz="4" w:space="0" w:color="000000"/>
            </w:tcBorders>
            <w:shd w:val="clear" w:color="auto" w:fill="auto"/>
          </w:tcPr>
          <w:p w:rsidR="00A3648B" w:rsidRPr="00D136A6" w:rsidRDefault="00A3648B" w:rsidP="0066667A">
            <w:pPr>
              <w:jc w:val="right"/>
              <w:rPr>
                <w:rFonts w:asciiTheme="minorHAnsi" w:eastAsia="Calibri" w:hAnsiTheme="minorHAnsi"/>
                <w:sz w:val="24"/>
                <w:szCs w:val="24"/>
              </w:rPr>
            </w:pPr>
            <w:r w:rsidRPr="00D136A6">
              <w:rPr>
                <w:rFonts w:asciiTheme="minorHAnsi" w:eastAsia="Calibri" w:hAnsiTheme="minorHAnsi"/>
                <w:sz w:val="24"/>
                <w:szCs w:val="24"/>
              </w:rPr>
              <w:t>583,20</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A3648B" w:rsidRPr="00D136A6" w:rsidRDefault="00A3648B" w:rsidP="0066667A">
            <w:pPr>
              <w:jc w:val="right"/>
              <w:rPr>
                <w:rFonts w:asciiTheme="minorHAnsi" w:hAnsiTheme="minorHAnsi"/>
              </w:rPr>
            </w:pPr>
            <w:r w:rsidRPr="00D136A6">
              <w:rPr>
                <w:rFonts w:asciiTheme="minorHAnsi" w:eastAsia="Calibri" w:hAnsiTheme="minorHAnsi"/>
                <w:sz w:val="24"/>
                <w:szCs w:val="24"/>
              </w:rPr>
              <w:t>291,60</w:t>
            </w:r>
          </w:p>
        </w:tc>
      </w:tr>
      <w:tr w:rsidR="00A3648B" w:rsidRPr="00D136A6">
        <w:tc>
          <w:tcPr>
            <w:tcW w:w="2218" w:type="dxa"/>
            <w:tcBorders>
              <w:top w:val="single" w:sz="4" w:space="0" w:color="000000"/>
              <w:left w:val="single" w:sz="4" w:space="0" w:color="000000"/>
              <w:bottom w:val="single" w:sz="4" w:space="0" w:color="000000"/>
            </w:tcBorders>
            <w:shd w:val="clear" w:color="auto" w:fill="auto"/>
          </w:tcPr>
          <w:p w:rsidR="00A3648B" w:rsidRPr="00D136A6" w:rsidRDefault="00A3648B" w:rsidP="0066667A">
            <w:pPr>
              <w:rPr>
                <w:rFonts w:asciiTheme="minorHAnsi" w:eastAsia="Calibri" w:hAnsiTheme="minorHAnsi"/>
                <w:sz w:val="24"/>
                <w:szCs w:val="24"/>
              </w:rPr>
            </w:pPr>
            <w:r w:rsidRPr="00D136A6">
              <w:rPr>
                <w:rFonts w:asciiTheme="minorHAnsi" w:eastAsia="Calibri" w:hAnsiTheme="minorHAnsi"/>
                <w:sz w:val="24"/>
                <w:szCs w:val="24"/>
              </w:rPr>
              <w:t>Macédoine ARY</w:t>
            </w:r>
          </w:p>
        </w:tc>
        <w:tc>
          <w:tcPr>
            <w:tcW w:w="1007" w:type="dxa"/>
            <w:tcBorders>
              <w:top w:val="single" w:sz="4" w:space="0" w:color="000000"/>
              <w:left w:val="single" w:sz="4" w:space="0" w:color="000000"/>
              <w:bottom w:val="single" w:sz="4" w:space="0" w:color="000000"/>
            </w:tcBorders>
            <w:shd w:val="clear" w:color="auto" w:fill="auto"/>
          </w:tcPr>
          <w:p w:rsidR="00A3648B" w:rsidRPr="00D136A6" w:rsidRDefault="00A3648B" w:rsidP="0066667A">
            <w:pPr>
              <w:jc w:val="right"/>
              <w:rPr>
                <w:rFonts w:asciiTheme="minorHAnsi" w:eastAsia="Calibri" w:hAnsiTheme="minorHAnsi"/>
                <w:sz w:val="24"/>
                <w:szCs w:val="24"/>
              </w:rPr>
            </w:pPr>
            <w:r w:rsidRPr="00D136A6">
              <w:rPr>
                <w:rFonts w:asciiTheme="minorHAnsi" w:eastAsia="Calibri" w:hAnsiTheme="minorHAnsi"/>
                <w:sz w:val="24"/>
                <w:szCs w:val="24"/>
              </w:rPr>
              <w:t>1</w:t>
            </w:r>
          </w:p>
        </w:tc>
        <w:tc>
          <w:tcPr>
            <w:tcW w:w="1487" w:type="dxa"/>
            <w:tcBorders>
              <w:top w:val="single" w:sz="4" w:space="0" w:color="000000"/>
              <w:left w:val="single" w:sz="4" w:space="0" w:color="000000"/>
              <w:bottom w:val="single" w:sz="4" w:space="0" w:color="000000"/>
            </w:tcBorders>
            <w:shd w:val="clear" w:color="auto" w:fill="auto"/>
          </w:tcPr>
          <w:p w:rsidR="00A3648B" w:rsidRPr="00D136A6" w:rsidRDefault="00A3648B" w:rsidP="0066667A">
            <w:pPr>
              <w:jc w:val="right"/>
              <w:rPr>
                <w:rFonts w:asciiTheme="minorHAnsi" w:eastAsia="Calibri" w:hAnsiTheme="minorHAnsi"/>
                <w:sz w:val="24"/>
                <w:szCs w:val="24"/>
              </w:rPr>
            </w:pPr>
            <w:r w:rsidRPr="00D136A6">
              <w:rPr>
                <w:rFonts w:asciiTheme="minorHAnsi" w:eastAsia="Calibri" w:hAnsiTheme="minorHAnsi"/>
                <w:sz w:val="24"/>
                <w:szCs w:val="24"/>
              </w:rPr>
              <w:t>1</w:t>
            </w:r>
          </w:p>
        </w:tc>
        <w:tc>
          <w:tcPr>
            <w:tcW w:w="894" w:type="dxa"/>
            <w:tcBorders>
              <w:top w:val="single" w:sz="4" w:space="0" w:color="000000"/>
              <w:left w:val="single" w:sz="4" w:space="0" w:color="000000"/>
              <w:bottom w:val="single" w:sz="4" w:space="0" w:color="000000"/>
            </w:tcBorders>
            <w:shd w:val="clear" w:color="auto" w:fill="auto"/>
          </w:tcPr>
          <w:p w:rsidR="00A3648B" w:rsidRPr="00D136A6" w:rsidRDefault="00A3648B" w:rsidP="0066667A">
            <w:pPr>
              <w:jc w:val="right"/>
              <w:rPr>
                <w:rFonts w:asciiTheme="minorHAnsi" w:eastAsia="Calibri" w:hAnsiTheme="minorHAnsi"/>
                <w:sz w:val="24"/>
                <w:szCs w:val="24"/>
              </w:rPr>
            </w:pPr>
            <w:r w:rsidRPr="00D136A6">
              <w:rPr>
                <w:rFonts w:asciiTheme="minorHAnsi" w:eastAsia="Calibri" w:hAnsiTheme="minorHAnsi"/>
                <w:sz w:val="24"/>
                <w:szCs w:val="24"/>
              </w:rPr>
              <w:t>4500</w:t>
            </w:r>
          </w:p>
        </w:tc>
        <w:tc>
          <w:tcPr>
            <w:tcW w:w="1193" w:type="dxa"/>
            <w:tcBorders>
              <w:top w:val="single" w:sz="4" w:space="0" w:color="000000"/>
              <w:left w:val="single" w:sz="4" w:space="0" w:color="000000"/>
              <w:bottom w:val="single" w:sz="4" w:space="0" w:color="000000"/>
            </w:tcBorders>
            <w:shd w:val="clear" w:color="auto" w:fill="auto"/>
          </w:tcPr>
          <w:p w:rsidR="00A3648B" w:rsidRPr="00D136A6" w:rsidRDefault="00A3648B" w:rsidP="0066667A">
            <w:pPr>
              <w:jc w:val="right"/>
              <w:rPr>
                <w:rFonts w:asciiTheme="minorHAnsi" w:eastAsia="Calibri" w:hAnsiTheme="minorHAnsi"/>
                <w:sz w:val="24"/>
                <w:szCs w:val="24"/>
              </w:rPr>
            </w:pPr>
            <w:r w:rsidRPr="00D136A6">
              <w:rPr>
                <w:rFonts w:asciiTheme="minorHAnsi" w:eastAsia="Calibri" w:hAnsiTheme="minorHAnsi"/>
                <w:sz w:val="24"/>
                <w:szCs w:val="24"/>
              </w:rPr>
              <w:t>4500</w:t>
            </w:r>
          </w:p>
        </w:tc>
        <w:tc>
          <w:tcPr>
            <w:tcW w:w="1022" w:type="dxa"/>
            <w:tcBorders>
              <w:top w:val="single" w:sz="4" w:space="0" w:color="000000"/>
              <w:left w:val="single" w:sz="4" w:space="0" w:color="000000"/>
              <w:bottom w:val="single" w:sz="4" w:space="0" w:color="000000"/>
            </w:tcBorders>
            <w:shd w:val="clear" w:color="auto" w:fill="auto"/>
          </w:tcPr>
          <w:p w:rsidR="00A3648B" w:rsidRPr="00D136A6" w:rsidRDefault="00A3648B" w:rsidP="0066667A">
            <w:pPr>
              <w:jc w:val="right"/>
              <w:rPr>
                <w:rFonts w:asciiTheme="minorHAnsi" w:eastAsia="Calibri" w:hAnsiTheme="minorHAnsi"/>
                <w:sz w:val="24"/>
                <w:szCs w:val="24"/>
              </w:rPr>
            </w:pPr>
            <w:r w:rsidRPr="00D136A6">
              <w:rPr>
                <w:rFonts w:asciiTheme="minorHAnsi" w:eastAsia="Calibri" w:hAnsiTheme="minorHAnsi"/>
                <w:sz w:val="24"/>
                <w:szCs w:val="24"/>
              </w:rPr>
              <w:t>349,90</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A3648B" w:rsidRPr="00D136A6" w:rsidRDefault="00A3648B" w:rsidP="0066667A">
            <w:pPr>
              <w:jc w:val="right"/>
              <w:rPr>
                <w:rFonts w:asciiTheme="minorHAnsi" w:hAnsiTheme="minorHAnsi"/>
              </w:rPr>
            </w:pPr>
            <w:r w:rsidRPr="00D136A6">
              <w:rPr>
                <w:rFonts w:asciiTheme="minorHAnsi" w:eastAsia="Calibri" w:hAnsiTheme="minorHAnsi"/>
                <w:sz w:val="24"/>
                <w:szCs w:val="24"/>
              </w:rPr>
              <w:t>349,00</w:t>
            </w:r>
          </w:p>
        </w:tc>
      </w:tr>
      <w:tr w:rsidR="00A3648B" w:rsidRPr="00D136A6">
        <w:tc>
          <w:tcPr>
            <w:tcW w:w="2218" w:type="dxa"/>
            <w:tcBorders>
              <w:top w:val="single" w:sz="4" w:space="0" w:color="000000"/>
              <w:left w:val="single" w:sz="4" w:space="0" w:color="000000"/>
              <w:bottom w:val="single" w:sz="4" w:space="0" w:color="000000"/>
            </w:tcBorders>
            <w:shd w:val="clear" w:color="auto" w:fill="auto"/>
          </w:tcPr>
          <w:p w:rsidR="00A3648B" w:rsidRPr="00D136A6" w:rsidRDefault="00A3648B" w:rsidP="0066667A">
            <w:pPr>
              <w:rPr>
                <w:rFonts w:asciiTheme="minorHAnsi" w:eastAsia="Calibri" w:hAnsiTheme="minorHAnsi"/>
                <w:sz w:val="24"/>
                <w:szCs w:val="24"/>
              </w:rPr>
            </w:pPr>
            <w:r w:rsidRPr="00D136A6">
              <w:rPr>
                <w:rFonts w:asciiTheme="minorHAnsi" w:eastAsia="Calibri" w:hAnsiTheme="minorHAnsi"/>
                <w:sz w:val="24"/>
                <w:szCs w:val="24"/>
              </w:rPr>
              <w:t>Croatie</w:t>
            </w:r>
          </w:p>
        </w:tc>
        <w:tc>
          <w:tcPr>
            <w:tcW w:w="1007" w:type="dxa"/>
            <w:tcBorders>
              <w:top w:val="single" w:sz="4" w:space="0" w:color="000000"/>
              <w:left w:val="single" w:sz="4" w:space="0" w:color="000000"/>
              <w:bottom w:val="single" w:sz="4" w:space="0" w:color="000000"/>
            </w:tcBorders>
            <w:shd w:val="clear" w:color="auto" w:fill="auto"/>
          </w:tcPr>
          <w:p w:rsidR="00A3648B" w:rsidRPr="00D136A6" w:rsidRDefault="00A3648B" w:rsidP="0066667A">
            <w:pPr>
              <w:jc w:val="right"/>
              <w:rPr>
                <w:rFonts w:asciiTheme="minorHAnsi" w:eastAsia="Calibri" w:hAnsiTheme="minorHAnsi"/>
                <w:sz w:val="24"/>
                <w:szCs w:val="24"/>
              </w:rPr>
            </w:pPr>
            <w:r w:rsidRPr="00D136A6">
              <w:rPr>
                <w:rFonts w:asciiTheme="minorHAnsi" w:eastAsia="Calibri" w:hAnsiTheme="minorHAnsi"/>
                <w:sz w:val="24"/>
                <w:szCs w:val="24"/>
              </w:rPr>
              <w:t>1</w:t>
            </w:r>
          </w:p>
        </w:tc>
        <w:tc>
          <w:tcPr>
            <w:tcW w:w="1487" w:type="dxa"/>
            <w:tcBorders>
              <w:top w:val="single" w:sz="4" w:space="0" w:color="000000"/>
              <w:left w:val="single" w:sz="4" w:space="0" w:color="000000"/>
              <w:bottom w:val="single" w:sz="4" w:space="0" w:color="000000"/>
            </w:tcBorders>
            <w:shd w:val="clear" w:color="auto" w:fill="auto"/>
          </w:tcPr>
          <w:p w:rsidR="00A3648B" w:rsidRPr="00D136A6" w:rsidRDefault="00A3648B" w:rsidP="0066667A">
            <w:pPr>
              <w:jc w:val="right"/>
              <w:rPr>
                <w:rFonts w:asciiTheme="minorHAnsi" w:eastAsia="Calibri" w:hAnsiTheme="minorHAnsi"/>
                <w:sz w:val="24"/>
                <w:szCs w:val="24"/>
              </w:rPr>
            </w:pPr>
            <w:r w:rsidRPr="00D136A6">
              <w:rPr>
                <w:rFonts w:asciiTheme="minorHAnsi" w:eastAsia="Calibri" w:hAnsiTheme="minorHAnsi"/>
                <w:sz w:val="24"/>
                <w:szCs w:val="24"/>
              </w:rPr>
              <w:t>1</w:t>
            </w:r>
          </w:p>
        </w:tc>
        <w:tc>
          <w:tcPr>
            <w:tcW w:w="894" w:type="dxa"/>
            <w:tcBorders>
              <w:top w:val="single" w:sz="4" w:space="0" w:color="000000"/>
              <w:left w:val="single" w:sz="4" w:space="0" w:color="000000"/>
              <w:bottom w:val="single" w:sz="4" w:space="0" w:color="000000"/>
            </w:tcBorders>
            <w:shd w:val="clear" w:color="auto" w:fill="auto"/>
          </w:tcPr>
          <w:p w:rsidR="00A3648B" w:rsidRPr="00D136A6" w:rsidRDefault="00A3648B" w:rsidP="0066667A">
            <w:pPr>
              <w:jc w:val="right"/>
              <w:rPr>
                <w:rFonts w:asciiTheme="minorHAnsi" w:eastAsia="Calibri" w:hAnsiTheme="minorHAnsi"/>
                <w:sz w:val="24"/>
                <w:szCs w:val="24"/>
              </w:rPr>
            </w:pPr>
            <w:r w:rsidRPr="00D136A6">
              <w:rPr>
                <w:rFonts w:asciiTheme="minorHAnsi" w:eastAsia="Calibri" w:hAnsiTheme="minorHAnsi"/>
                <w:sz w:val="24"/>
                <w:szCs w:val="24"/>
              </w:rPr>
              <w:t>128</w:t>
            </w:r>
          </w:p>
        </w:tc>
        <w:tc>
          <w:tcPr>
            <w:tcW w:w="1193" w:type="dxa"/>
            <w:tcBorders>
              <w:top w:val="single" w:sz="4" w:space="0" w:color="000000"/>
              <w:left w:val="single" w:sz="4" w:space="0" w:color="000000"/>
              <w:bottom w:val="single" w:sz="4" w:space="0" w:color="000000"/>
            </w:tcBorders>
            <w:shd w:val="clear" w:color="auto" w:fill="auto"/>
          </w:tcPr>
          <w:p w:rsidR="00A3648B" w:rsidRPr="00D136A6" w:rsidRDefault="00A3648B" w:rsidP="0066667A">
            <w:pPr>
              <w:jc w:val="right"/>
              <w:rPr>
                <w:rFonts w:asciiTheme="minorHAnsi" w:eastAsia="Calibri" w:hAnsiTheme="minorHAnsi"/>
                <w:sz w:val="24"/>
                <w:szCs w:val="24"/>
              </w:rPr>
            </w:pPr>
            <w:r w:rsidRPr="00D136A6">
              <w:rPr>
                <w:rFonts w:asciiTheme="minorHAnsi" w:eastAsia="Calibri" w:hAnsiTheme="minorHAnsi"/>
                <w:sz w:val="24"/>
                <w:szCs w:val="24"/>
              </w:rPr>
              <w:t>128</w:t>
            </w:r>
          </w:p>
        </w:tc>
        <w:tc>
          <w:tcPr>
            <w:tcW w:w="1022" w:type="dxa"/>
            <w:tcBorders>
              <w:top w:val="single" w:sz="4" w:space="0" w:color="000000"/>
              <w:left w:val="single" w:sz="4" w:space="0" w:color="000000"/>
              <w:bottom w:val="single" w:sz="4" w:space="0" w:color="000000"/>
            </w:tcBorders>
            <w:shd w:val="clear" w:color="auto" w:fill="auto"/>
          </w:tcPr>
          <w:p w:rsidR="00A3648B" w:rsidRPr="00D136A6" w:rsidRDefault="00A3648B" w:rsidP="0066667A">
            <w:pPr>
              <w:jc w:val="right"/>
              <w:rPr>
                <w:rFonts w:asciiTheme="minorHAnsi" w:eastAsia="Calibri" w:hAnsiTheme="minorHAnsi"/>
                <w:sz w:val="24"/>
                <w:szCs w:val="24"/>
              </w:rPr>
            </w:pPr>
            <w:r w:rsidRPr="00D136A6">
              <w:rPr>
                <w:rFonts w:asciiTheme="minorHAnsi" w:eastAsia="Calibri" w:hAnsiTheme="minorHAnsi"/>
                <w:sz w:val="24"/>
                <w:szCs w:val="24"/>
              </w:rPr>
              <w:t>80,80</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A3648B" w:rsidRPr="00D136A6" w:rsidRDefault="00A3648B" w:rsidP="0066667A">
            <w:pPr>
              <w:jc w:val="right"/>
              <w:rPr>
                <w:rFonts w:asciiTheme="minorHAnsi" w:hAnsiTheme="minorHAnsi"/>
              </w:rPr>
            </w:pPr>
            <w:r w:rsidRPr="00D136A6">
              <w:rPr>
                <w:rFonts w:asciiTheme="minorHAnsi" w:eastAsia="Calibri" w:hAnsiTheme="minorHAnsi"/>
                <w:sz w:val="24"/>
                <w:szCs w:val="24"/>
              </w:rPr>
              <w:t>80,80</w:t>
            </w:r>
          </w:p>
        </w:tc>
      </w:tr>
      <w:tr w:rsidR="00A3648B" w:rsidRPr="00D136A6">
        <w:tc>
          <w:tcPr>
            <w:tcW w:w="2218" w:type="dxa"/>
            <w:tcBorders>
              <w:top w:val="single" w:sz="4" w:space="0" w:color="000000"/>
              <w:left w:val="single" w:sz="4" w:space="0" w:color="000000"/>
              <w:bottom w:val="single" w:sz="4" w:space="0" w:color="000000"/>
            </w:tcBorders>
            <w:shd w:val="clear" w:color="auto" w:fill="auto"/>
          </w:tcPr>
          <w:p w:rsidR="00A3648B" w:rsidRPr="00D136A6" w:rsidRDefault="00A3648B" w:rsidP="0066667A">
            <w:pPr>
              <w:rPr>
                <w:rFonts w:asciiTheme="minorHAnsi" w:eastAsia="Calibri" w:hAnsiTheme="minorHAnsi"/>
                <w:sz w:val="24"/>
                <w:szCs w:val="24"/>
              </w:rPr>
            </w:pPr>
            <w:r w:rsidRPr="00D136A6">
              <w:rPr>
                <w:rFonts w:asciiTheme="minorHAnsi" w:eastAsia="Calibri" w:hAnsiTheme="minorHAnsi"/>
                <w:sz w:val="24"/>
                <w:szCs w:val="24"/>
              </w:rPr>
              <w:t>Total</w:t>
            </w:r>
          </w:p>
        </w:tc>
        <w:tc>
          <w:tcPr>
            <w:tcW w:w="1007" w:type="dxa"/>
            <w:tcBorders>
              <w:top w:val="single" w:sz="4" w:space="0" w:color="000000"/>
              <w:left w:val="single" w:sz="4" w:space="0" w:color="000000"/>
              <w:bottom w:val="single" w:sz="4" w:space="0" w:color="000000"/>
            </w:tcBorders>
            <w:shd w:val="clear" w:color="auto" w:fill="auto"/>
          </w:tcPr>
          <w:p w:rsidR="00A3648B" w:rsidRPr="00D136A6" w:rsidRDefault="00A3648B" w:rsidP="0066667A">
            <w:pPr>
              <w:jc w:val="right"/>
              <w:rPr>
                <w:rFonts w:asciiTheme="minorHAnsi" w:eastAsia="Calibri" w:hAnsiTheme="minorHAnsi"/>
                <w:sz w:val="24"/>
                <w:szCs w:val="24"/>
              </w:rPr>
            </w:pPr>
            <w:r w:rsidRPr="00D136A6">
              <w:rPr>
                <w:rFonts w:asciiTheme="minorHAnsi" w:eastAsia="Calibri" w:hAnsiTheme="minorHAnsi"/>
                <w:sz w:val="24"/>
                <w:szCs w:val="24"/>
              </w:rPr>
              <w:t>70</w:t>
            </w:r>
          </w:p>
        </w:tc>
        <w:tc>
          <w:tcPr>
            <w:tcW w:w="1487" w:type="dxa"/>
            <w:tcBorders>
              <w:top w:val="single" w:sz="4" w:space="0" w:color="000000"/>
              <w:left w:val="single" w:sz="4" w:space="0" w:color="000000"/>
              <w:bottom w:val="single" w:sz="4" w:space="0" w:color="000000"/>
            </w:tcBorders>
            <w:shd w:val="clear" w:color="auto" w:fill="auto"/>
          </w:tcPr>
          <w:p w:rsidR="00A3648B" w:rsidRPr="00D136A6" w:rsidRDefault="00A3648B" w:rsidP="0066667A">
            <w:pPr>
              <w:jc w:val="right"/>
              <w:rPr>
                <w:rFonts w:asciiTheme="minorHAnsi" w:eastAsia="Calibri" w:hAnsiTheme="minorHAnsi"/>
                <w:sz w:val="24"/>
                <w:szCs w:val="24"/>
              </w:rPr>
            </w:pPr>
            <w:r w:rsidRPr="00D136A6">
              <w:rPr>
                <w:rFonts w:asciiTheme="minorHAnsi" w:eastAsia="Calibri" w:hAnsiTheme="minorHAnsi"/>
                <w:sz w:val="24"/>
                <w:szCs w:val="24"/>
              </w:rPr>
              <w:t>46</w:t>
            </w:r>
          </w:p>
        </w:tc>
        <w:tc>
          <w:tcPr>
            <w:tcW w:w="894" w:type="dxa"/>
            <w:tcBorders>
              <w:top w:val="single" w:sz="4" w:space="0" w:color="000000"/>
              <w:left w:val="single" w:sz="4" w:space="0" w:color="000000"/>
              <w:bottom w:val="single" w:sz="4" w:space="0" w:color="000000"/>
            </w:tcBorders>
            <w:shd w:val="clear" w:color="auto" w:fill="auto"/>
          </w:tcPr>
          <w:p w:rsidR="00A3648B" w:rsidRPr="00D136A6" w:rsidRDefault="00A3648B" w:rsidP="0066667A">
            <w:pPr>
              <w:jc w:val="right"/>
              <w:rPr>
                <w:rFonts w:asciiTheme="minorHAnsi" w:eastAsia="Calibri" w:hAnsiTheme="minorHAnsi"/>
                <w:sz w:val="24"/>
                <w:szCs w:val="24"/>
              </w:rPr>
            </w:pPr>
            <w:r w:rsidRPr="00D136A6">
              <w:rPr>
                <w:rFonts w:asciiTheme="minorHAnsi" w:eastAsia="Calibri" w:hAnsiTheme="minorHAnsi"/>
                <w:sz w:val="24"/>
                <w:szCs w:val="24"/>
              </w:rPr>
              <w:t>33854</w:t>
            </w:r>
          </w:p>
        </w:tc>
        <w:tc>
          <w:tcPr>
            <w:tcW w:w="1193" w:type="dxa"/>
            <w:tcBorders>
              <w:top w:val="single" w:sz="4" w:space="0" w:color="000000"/>
              <w:left w:val="single" w:sz="4" w:space="0" w:color="000000"/>
              <w:bottom w:val="single" w:sz="4" w:space="0" w:color="000000"/>
            </w:tcBorders>
            <w:shd w:val="clear" w:color="auto" w:fill="auto"/>
          </w:tcPr>
          <w:p w:rsidR="00A3648B" w:rsidRPr="00D136A6" w:rsidRDefault="00A3648B" w:rsidP="0066667A">
            <w:pPr>
              <w:jc w:val="right"/>
              <w:rPr>
                <w:rFonts w:asciiTheme="minorHAnsi" w:eastAsia="Calibri" w:hAnsiTheme="minorHAnsi"/>
                <w:sz w:val="24"/>
                <w:szCs w:val="24"/>
              </w:rPr>
            </w:pPr>
            <w:r w:rsidRPr="00D136A6">
              <w:rPr>
                <w:rFonts w:asciiTheme="minorHAnsi" w:eastAsia="Calibri" w:hAnsiTheme="minorHAnsi"/>
                <w:sz w:val="24"/>
                <w:szCs w:val="24"/>
              </w:rPr>
              <w:t>340</w:t>
            </w:r>
          </w:p>
        </w:tc>
        <w:tc>
          <w:tcPr>
            <w:tcW w:w="1022" w:type="dxa"/>
            <w:tcBorders>
              <w:top w:val="single" w:sz="4" w:space="0" w:color="000000"/>
              <w:left w:val="single" w:sz="4" w:space="0" w:color="000000"/>
              <w:bottom w:val="single" w:sz="4" w:space="0" w:color="000000"/>
            </w:tcBorders>
            <w:shd w:val="clear" w:color="auto" w:fill="auto"/>
          </w:tcPr>
          <w:p w:rsidR="00A3648B" w:rsidRPr="00D136A6" w:rsidRDefault="00A3648B" w:rsidP="0066667A">
            <w:pPr>
              <w:jc w:val="right"/>
              <w:rPr>
                <w:rFonts w:asciiTheme="minorHAnsi" w:eastAsia="Calibri" w:hAnsiTheme="minorHAnsi"/>
                <w:sz w:val="24"/>
                <w:szCs w:val="24"/>
              </w:rPr>
            </w:pPr>
            <w:r w:rsidRPr="00D136A6">
              <w:rPr>
                <w:rFonts w:asciiTheme="minorHAnsi" w:eastAsia="Calibri" w:hAnsiTheme="minorHAnsi"/>
                <w:sz w:val="24"/>
                <w:szCs w:val="24"/>
              </w:rPr>
              <w:t>5820,20</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A3648B" w:rsidRPr="00D136A6" w:rsidRDefault="00A3648B" w:rsidP="0066667A">
            <w:pPr>
              <w:jc w:val="right"/>
              <w:rPr>
                <w:rFonts w:asciiTheme="minorHAnsi" w:hAnsiTheme="minorHAnsi"/>
              </w:rPr>
            </w:pPr>
            <w:r w:rsidRPr="00D136A6">
              <w:rPr>
                <w:rFonts w:asciiTheme="minorHAnsi" w:eastAsia="Calibri" w:hAnsiTheme="minorHAnsi"/>
                <w:sz w:val="24"/>
                <w:szCs w:val="24"/>
              </w:rPr>
              <w:t>83,10</w:t>
            </w:r>
          </w:p>
        </w:tc>
      </w:tr>
    </w:tbl>
    <w:p w:rsidR="00A3648B" w:rsidRPr="00D136A6" w:rsidRDefault="00A3648B" w:rsidP="00A3648B">
      <w:pPr>
        <w:spacing w:line="360" w:lineRule="auto"/>
        <w:jc w:val="both"/>
        <w:rPr>
          <w:rFonts w:asciiTheme="minorHAnsi" w:hAnsiTheme="minorHAnsi"/>
          <w:color w:val="1C1C1C"/>
          <w:sz w:val="24"/>
          <w:szCs w:val="24"/>
        </w:rPr>
      </w:pPr>
      <w:bookmarkStart w:id="0" w:name="_GoBack2"/>
      <w:bookmarkEnd w:id="0"/>
      <w:r w:rsidRPr="00D136A6">
        <w:rPr>
          <w:rFonts w:asciiTheme="minorHAnsi" w:hAnsiTheme="minorHAnsi"/>
          <w:color w:val="1C1C1C"/>
          <w:sz w:val="24"/>
          <w:szCs w:val="24"/>
        </w:rPr>
        <w:t xml:space="preserve">Source : </w:t>
      </w:r>
      <w:r w:rsidRPr="00D136A6">
        <w:rPr>
          <w:rFonts w:asciiTheme="minorHAnsi" w:hAnsiTheme="minorHAnsi"/>
          <w:bCs/>
          <w:color w:val="1A1A1A"/>
          <w:sz w:val="24"/>
          <w:szCs w:val="24"/>
        </w:rPr>
        <w:t>Wade Jacoby (2015)</w:t>
      </w:r>
      <w:r w:rsidRPr="00D136A6">
        <w:rPr>
          <w:rStyle w:val="Appelnotedebasdep1"/>
          <w:rFonts w:asciiTheme="minorHAnsi" w:hAnsiTheme="minorHAnsi"/>
          <w:sz w:val="24"/>
          <w:szCs w:val="24"/>
        </w:rPr>
        <w:footnoteReference w:id="39"/>
      </w:r>
    </w:p>
    <w:p w:rsidR="00A3648B" w:rsidRPr="00D136A6" w:rsidRDefault="00A3648B" w:rsidP="00A3648B">
      <w:pPr>
        <w:spacing w:line="360" w:lineRule="auto"/>
        <w:jc w:val="both"/>
        <w:rPr>
          <w:rFonts w:asciiTheme="minorHAnsi" w:hAnsiTheme="minorHAnsi"/>
          <w:color w:val="1C1C1C"/>
          <w:sz w:val="24"/>
          <w:szCs w:val="24"/>
        </w:rPr>
      </w:pPr>
    </w:p>
    <w:p w:rsidR="00A3648B" w:rsidRPr="00D136A6" w:rsidRDefault="00A3648B" w:rsidP="00A3648B">
      <w:pPr>
        <w:rPr>
          <w:rFonts w:asciiTheme="minorHAnsi" w:hAnsiTheme="minorHAnsi"/>
          <w:sz w:val="24"/>
          <w:szCs w:val="24"/>
        </w:rPr>
      </w:pPr>
      <w:r w:rsidRPr="00D136A6">
        <w:rPr>
          <w:rFonts w:asciiTheme="minorHAnsi" w:hAnsiTheme="minorHAnsi"/>
          <w:sz w:val="24"/>
          <w:szCs w:val="24"/>
        </w:rPr>
        <w:t xml:space="preserve">Source : Compilation de différentes sources journalistiques (dont le </w:t>
      </w:r>
      <w:r w:rsidRPr="00D136A6">
        <w:rPr>
          <w:rFonts w:asciiTheme="minorHAnsi" w:hAnsiTheme="minorHAnsi"/>
          <w:i/>
          <w:iCs/>
          <w:sz w:val="24"/>
          <w:szCs w:val="24"/>
        </w:rPr>
        <w:t>Financial Times</w:t>
      </w:r>
      <w:r w:rsidRPr="00D136A6">
        <w:rPr>
          <w:rFonts w:asciiTheme="minorHAnsi" w:hAnsiTheme="minorHAnsi"/>
          <w:sz w:val="24"/>
          <w:szCs w:val="24"/>
        </w:rPr>
        <w:t xml:space="preserve">, le </w:t>
      </w:r>
      <w:r w:rsidRPr="00D136A6">
        <w:rPr>
          <w:rFonts w:asciiTheme="minorHAnsi" w:hAnsiTheme="minorHAnsi"/>
          <w:i/>
          <w:iCs/>
          <w:sz w:val="24"/>
          <w:szCs w:val="24"/>
        </w:rPr>
        <w:t>Courrier des Balkans</w:t>
      </w:r>
      <w:r w:rsidRPr="00D136A6">
        <w:rPr>
          <w:rFonts w:asciiTheme="minorHAnsi" w:hAnsiTheme="minorHAnsi"/>
          <w:sz w:val="24"/>
          <w:szCs w:val="24"/>
        </w:rPr>
        <w:t>) par l’auteur</w:t>
      </w:r>
    </w:p>
    <w:p w:rsidR="00D136A6" w:rsidRDefault="00D136A6" w:rsidP="00D136A6">
      <w:pPr>
        <w:spacing w:line="360" w:lineRule="auto"/>
        <w:jc w:val="both"/>
        <w:rPr>
          <w:rFonts w:asciiTheme="minorHAnsi" w:hAnsiTheme="minorHAnsi"/>
          <w:color w:val="1C1C1C"/>
          <w:sz w:val="24"/>
          <w:szCs w:val="24"/>
          <w:lang w:val="en-US"/>
        </w:rPr>
      </w:pPr>
    </w:p>
    <w:p w:rsidR="00A3648B" w:rsidRPr="00D136A6" w:rsidRDefault="00A3648B" w:rsidP="00A3648B">
      <w:pPr>
        <w:spacing w:line="360" w:lineRule="auto"/>
        <w:rPr>
          <w:rFonts w:asciiTheme="minorHAnsi" w:hAnsiTheme="minorHAnsi"/>
          <w:sz w:val="24"/>
          <w:szCs w:val="24"/>
        </w:rPr>
      </w:pPr>
      <w:r w:rsidRPr="00D136A6">
        <w:rPr>
          <w:rFonts w:asciiTheme="minorHAnsi" w:hAnsiTheme="minorHAnsi"/>
          <w:sz w:val="24"/>
          <w:szCs w:val="24"/>
        </w:rPr>
        <w:t>Figure 7: Présence chinoise dans les Balkans : Financement de projets versus IDE ?</w:t>
      </w:r>
    </w:p>
    <w:p w:rsidR="00A3648B" w:rsidRPr="00D136A6" w:rsidRDefault="00A3648B" w:rsidP="00A3648B">
      <w:pPr>
        <w:spacing w:line="360" w:lineRule="auto"/>
        <w:rPr>
          <w:rFonts w:asciiTheme="minorHAnsi" w:hAnsiTheme="minorHAnsi"/>
          <w:sz w:val="24"/>
          <w:szCs w:val="24"/>
        </w:rPr>
      </w:pPr>
    </w:p>
    <w:tbl>
      <w:tblPr>
        <w:tblW w:w="0" w:type="auto"/>
        <w:tblInd w:w="-40" w:type="dxa"/>
        <w:tblLayout w:type="fixed"/>
        <w:tblLook w:val="0000"/>
      </w:tblPr>
      <w:tblGrid>
        <w:gridCol w:w="1696"/>
        <w:gridCol w:w="7439"/>
      </w:tblGrid>
      <w:tr w:rsidR="00A3648B" w:rsidRPr="00D136A6">
        <w:tc>
          <w:tcPr>
            <w:tcW w:w="1696" w:type="dxa"/>
            <w:tcBorders>
              <w:top w:val="single" w:sz="4" w:space="0" w:color="000000"/>
              <w:left w:val="single" w:sz="4" w:space="0" w:color="000000"/>
              <w:bottom w:val="single" w:sz="4" w:space="0" w:color="000000"/>
            </w:tcBorders>
            <w:shd w:val="clear" w:color="auto" w:fill="auto"/>
          </w:tcPr>
          <w:p w:rsidR="00A3648B" w:rsidRPr="00D136A6" w:rsidRDefault="00A3648B" w:rsidP="0066667A">
            <w:pPr>
              <w:rPr>
                <w:rFonts w:asciiTheme="minorHAnsi" w:hAnsiTheme="minorHAnsi"/>
                <w:sz w:val="24"/>
                <w:szCs w:val="24"/>
              </w:rPr>
            </w:pPr>
            <w:r w:rsidRPr="00D136A6">
              <w:rPr>
                <w:rFonts w:asciiTheme="minorHAnsi" w:hAnsiTheme="minorHAnsi"/>
                <w:sz w:val="24"/>
                <w:szCs w:val="24"/>
              </w:rPr>
              <w:t>Albanie</w:t>
            </w:r>
          </w:p>
        </w:tc>
        <w:tc>
          <w:tcPr>
            <w:tcW w:w="7439" w:type="dxa"/>
            <w:tcBorders>
              <w:top w:val="single" w:sz="4" w:space="0" w:color="000000"/>
              <w:left w:val="single" w:sz="4" w:space="0" w:color="000000"/>
              <w:bottom w:val="single" w:sz="4" w:space="0" w:color="000000"/>
              <w:right w:val="single" w:sz="4" w:space="0" w:color="000000"/>
            </w:tcBorders>
            <w:shd w:val="clear" w:color="auto" w:fill="auto"/>
          </w:tcPr>
          <w:p w:rsidR="00A3648B" w:rsidRPr="00D136A6" w:rsidRDefault="00A3648B" w:rsidP="0066667A">
            <w:pPr>
              <w:rPr>
                <w:rFonts w:asciiTheme="minorHAnsi" w:hAnsiTheme="minorHAnsi"/>
              </w:rPr>
            </w:pPr>
            <w:r w:rsidRPr="00D136A6">
              <w:rPr>
                <w:rFonts w:asciiTheme="minorHAnsi" w:hAnsiTheme="minorHAnsi"/>
                <w:sz w:val="24"/>
                <w:szCs w:val="24"/>
              </w:rPr>
              <w:t>Projets d’investissement dans le secteur des infrastructure s - Ouverture d’une ligne de crédit de 1,7 milliards de $</w:t>
            </w:r>
          </w:p>
        </w:tc>
      </w:tr>
      <w:tr w:rsidR="00A3648B" w:rsidRPr="00D136A6">
        <w:tc>
          <w:tcPr>
            <w:tcW w:w="1696" w:type="dxa"/>
            <w:tcBorders>
              <w:top w:val="single" w:sz="4" w:space="0" w:color="000000"/>
              <w:left w:val="single" w:sz="4" w:space="0" w:color="000000"/>
              <w:bottom w:val="single" w:sz="4" w:space="0" w:color="000000"/>
            </w:tcBorders>
            <w:shd w:val="clear" w:color="auto" w:fill="auto"/>
          </w:tcPr>
          <w:p w:rsidR="00A3648B" w:rsidRPr="00D136A6" w:rsidRDefault="00A3648B" w:rsidP="0066667A">
            <w:pPr>
              <w:rPr>
                <w:rFonts w:asciiTheme="minorHAnsi" w:hAnsiTheme="minorHAnsi"/>
                <w:sz w:val="24"/>
                <w:szCs w:val="24"/>
              </w:rPr>
            </w:pPr>
            <w:r w:rsidRPr="00D136A6">
              <w:rPr>
                <w:rFonts w:asciiTheme="minorHAnsi" w:hAnsiTheme="minorHAnsi"/>
                <w:sz w:val="24"/>
                <w:szCs w:val="24"/>
              </w:rPr>
              <w:t>Bosnie-Herzegovine</w:t>
            </w:r>
          </w:p>
        </w:tc>
        <w:tc>
          <w:tcPr>
            <w:tcW w:w="7439" w:type="dxa"/>
            <w:tcBorders>
              <w:top w:val="single" w:sz="4" w:space="0" w:color="000000"/>
              <w:left w:val="single" w:sz="4" w:space="0" w:color="000000"/>
              <w:bottom w:val="single" w:sz="4" w:space="0" w:color="000000"/>
              <w:right w:val="single" w:sz="4" w:space="0" w:color="000000"/>
            </w:tcBorders>
            <w:shd w:val="clear" w:color="auto" w:fill="auto"/>
          </w:tcPr>
          <w:p w:rsidR="00A3648B" w:rsidRPr="00D136A6" w:rsidRDefault="00A3648B" w:rsidP="0066667A">
            <w:pPr>
              <w:rPr>
                <w:rFonts w:asciiTheme="minorHAnsi" w:hAnsiTheme="minorHAnsi"/>
              </w:rPr>
            </w:pPr>
            <w:r w:rsidRPr="00D136A6">
              <w:rPr>
                <w:rFonts w:asciiTheme="minorHAnsi" w:hAnsiTheme="minorHAnsi"/>
                <w:sz w:val="24"/>
                <w:szCs w:val="24"/>
              </w:rPr>
              <w:t>Importants investissements chinois (350 millions d’€) dans le secteur des centrales électriques par le groupe Dongfang Electric. Investissement conçu comme une porte d’entrée pour pénétrer le secteur dans la région.</w:t>
            </w:r>
          </w:p>
        </w:tc>
      </w:tr>
      <w:tr w:rsidR="00A3648B" w:rsidRPr="00D136A6">
        <w:tc>
          <w:tcPr>
            <w:tcW w:w="1696" w:type="dxa"/>
            <w:tcBorders>
              <w:top w:val="single" w:sz="4" w:space="0" w:color="000000"/>
              <w:left w:val="single" w:sz="4" w:space="0" w:color="000000"/>
              <w:bottom w:val="single" w:sz="4" w:space="0" w:color="000000"/>
            </w:tcBorders>
            <w:shd w:val="clear" w:color="auto" w:fill="auto"/>
          </w:tcPr>
          <w:p w:rsidR="00A3648B" w:rsidRPr="00D136A6" w:rsidRDefault="00A3648B" w:rsidP="0066667A">
            <w:pPr>
              <w:rPr>
                <w:rFonts w:asciiTheme="minorHAnsi" w:hAnsiTheme="minorHAnsi"/>
                <w:sz w:val="24"/>
                <w:szCs w:val="24"/>
              </w:rPr>
            </w:pPr>
            <w:r w:rsidRPr="00D136A6">
              <w:rPr>
                <w:rFonts w:asciiTheme="minorHAnsi" w:hAnsiTheme="minorHAnsi"/>
                <w:sz w:val="24"/>
                <w:szCs w:val="24"/>
              </w:rPr>
              <w:t>Bulgarie</w:t>
            </w:r>
          </w:p>
        </w:tc>
        <w:tc>
          <w:tcPr>
            <w:tcW w:w="7439" w:type="dxa"/>
            <w:tcBorders>
              <w:top w:val="single" w:sz="4" w:space="0" w:color="000000"/>
              <w:left w:val="single" w:sz="4" w:space="0" w:color="000000"/>
              <w:bottom w:val="single" w:sz="4" w:space="0" w:color="000000"/>
              <w:right w:val="single" w:sz="4" w:space="0" w:color="000000"/>
            </w:tcBorders>
            <w:shd w:val="clear" w:color="auto" w:fill="auto"/>
          </w:tcPr>
          <w:p w:rsidR="00A3648B" w:rsidRPr="00D136A6" w:rsidRDefault="00A3648B" w:rsidP="0066667A">
            <w:pPr>
              <w:rPr>
                <w:rFonts w:asciiTheme="minorHAnsi" w:hAnsiTheme="minorHAnsi"/>
                <w:sz w:val="24"/>
                <w:szCs w:val="24"/>
              </w:rPr>
            </w:pPr>
            <w:r w:rsidRPr="00D136A6">
              <w:rPr>
                <w:rFonts w:asciiTheme="minorHAnsi" w:hAnsiTheme="minorHAnsi"/>
                <w:sz w:val="24"/>
                <w:szCs w:val="24"/>
              </w:rPr>
              <w:t>Accord entre Great Wall Motors et Litex Motor pour l’assemblage des 1ères voitures chinoises en Europe. Démarrage de la production en 2015 (50 000 véhicules)</w:t>
            </w:r>
          </w:p>
          <w:p w:rsidR="00A3648B" w:rsidRPr="00D136A6" w:rsidRDefault="00A3648B" w:rsidP="0066667A">
            <w:pPr>
              <w:rPr>
                <w:rFonts w:asciiTheme="minorHAnsi" w:hAnsiTheme="minorHAnsi"/>
                <w:sz w:val="24"/>
                <w:szCs w:val="24"/>
              </w:rPr>
            </w:pPr>
            <w:r w:rsidRPr="00D136A6">
              <w:rPr>
                <w:rFonts w:asciiTheme="minorHAnsi" w:hAnsiTheme="minorHAnsi"/>
                <w:sz w:val="24"/>
                <w:szCs w:val="24"/>
              </w:rPr>
              <w:t>Construction d’un parc industriel pour la transformation des produits agricoles</w:t>
            </w:r>
          </w:p>
          <w:p w:rsidR="00A3648B" w:rsidRPr="00D136A6" w:rsidRDefault="00A3648B" w:rsidP="0066667A">
            <w:pPr>
              <w:rPr>
                <w:rFonts w:asciiTheme="minorHAnsi" w:hAnsiTheme="minorHAnsi"/>
              </w:rPr>
            </w:pPr>
            <w:r w:rsidRPr="00D136A6">
              <w:rPr>
                <w:rFonts w:asciiTheme="minorHAnsi" w:hAnsiTheme="minorHAnsi"/>
                <w:sz w:val="24"/>
                <w:szCs w:val="24"/>
              </w:rPr>
              <w:t>Investissement dans la construction de centrales thermiques, et d’assemblage</w:t>
            </w:r>
          </w:p>
        </w:tc>
      </w:tr>
      <w:tr w:rsidR="00A3648B" w:rsidRPr="00D136A6">
        <w:tc>
          <w:tcPr>
            <w:tcW w:w="1696" w:type="dxa"/>
            <w:tcBorders>
              <w:top w:val="single" w:sz="4" w:space="0" w:color="000000"/>
              <w:left w:val="single" w:sz="4" w:space="0" w:color="000000"/>
              <w:bottom w:val="single" w:sz="4" w:space="0" w:color="000000"/>
            </w:tcBorders>
            <w:shd w:val="clear" w:color="auto" w:fill="auto"/>
          </w:tcPr>
          <w:p w:rsidR="00A3648B" w:rsidRPr="00D136A6" w:rsidRDefault="00A3648B" w:rsidP="0066667A">
            <w:pPr>
              <w:rPr>
                <w:rFonts w:asciiTheme="minorHAnsi" w:hAnsiTheme="minorHAnsi"/>
                <w:sz w:val="24"/>
                <w:szCs w:val="24"/>
              </w:rPr>
            </w:pPr>
            <w:r w:rsidRPr="00D136A6">
              <w:rPr>
                <w:rFonts w:asciiTheme="minorHAnsi" w:hAnsiTheme="minorHAnsi"/>
                <w:sz w:val="24"/>
                <w:szCs w:val="24"/>
              </w:rPr>
              <w:t>Croatie</w:t>
            </w:r>
          </w:p>
        </w:tc>
        <w:tc>
          <w:tcPr>
            <w:tcW w:w="7439" w:type="dxa"/>
            <w:tcBorders>
              <w:top w:val="single" w:sz="4" w:space="0" w:color="000000"/>
              <w:left w:val="single" w:sz="4" w:space="0" w:color="000000"/>
              <w:bottom w:val="single" w:sz="4" w:space="0" w:color="000000"/>
              <w:right w:val="single" w:sz="4" w:space="0" w:color="000000"/>
            </w:tcBorders>
            <w:shd w:val="clear" w:color="auto" w:fill="auto"/>
          </w:tcPr>
          <w:p w:rsidR="00A3648B" w:rsidRPr="00D136A6" w:rsidRDefault="00A3648B" w:rsidP="0066667A">
            <w:pPr>
              <w:rPr>
                <w:rFonts w:asciiTheme="minorHAnsi" w:hAnsiTheme="minorHAnsi"/>
              </w:rPr>
            </w:pPr>
            <w:r w:rsidRPr="00D136A6">
              <w:rPr>
                <w:rFonts w:asciiTheme="minorHAnsi" w:hAnsiTheme="minorHAnsi"/>
                <w:sz w:val="24"/>
                <w:szCs w:val="24"/>
              </w:rPr>
              <w:t>Contrôle de 70% du capital d’une usine à papier par le groupe Qingdao. Le plus grand investissement vierge réalisé dans le pays</w:t>
            </w:r>
          </w:p>
        </w:tc>
      </w:tr>
      <w:tr w:rsidR="00A3648B" w:rsidRPr="00D136A6">
        <w:tc>
          <w:tcPr>
            <w:tcW w:w="1696" w:type="dxa"/>
            <w:tcBorders>
              <w:top w:val="single" w:sz="4" w:space="0" w:color="000000"/>
              <w:left w:val="single" w:sz="4" w:space="0" w:color="000000"/>
              <w:bottom w:val="single" w:sz="4" w:space="0" w:color="000000"/>
            </w:tcBorders>
            <w:shd w:val="clear" w:color="auto" w:fill="auto"/>
          </w:tcPr>
          <w:p w:rsidR="00A3648B" w:rsidRPr="00D136A6" w:rsidRDefault="00A3648B" w:rsidP="0066667A">
            <w:pPr>
              <w:rPr>
                <w:rFonts w:asciiTheme="minorHAnsi" w:hAnsiTheme="minorHAnsi"/>
                <w:color w:val="2A2A2A"/>
                <w:sz w:val="24"/>
                <w:szCs w:val="24"/>
              </w:rPr>
            </w:pPr>
            <w:r w:rsidRPr="00D136A6">
              <w:rPr>
                <w:rFonts w:asciiTheme="minorHAnsi" w:hAnsiTheme="minorHAnsi"/>
                <w:sz w:val="24"/>
                <w:szCs w:val="24"/>
              </w:rPr>
              <w:t>Macédoine</w:t>
            </w:r>
          </w:p>
        </w:tc>
        <w:tc>
          <w:tcPr>
            <w:tcW w:w="7439" w:type="dxa"/>
            <w:tcBorders>
              <w:top w:val="single" w:sz="4" w:space="0" w:color="000000"/>
              <w:left w:val="single" w:sz="4" w:space="0" w:color="000000"/>
              <w:bottom w:val="single" w:sz="4" w:space="0" w:color="000000"/>
              <w:right w:val="single" w:sz="4" w:space="0" w:color="000000"/>
            </w:tcBorders>
            <w:shd w:val="clear" w:color="auto" w:fill="auto"/>
          </w:tcPr>
          <w:p w:rsidR="00A3648B" w:rsidRPr="00D136A6" w:rsidRDefault="00A3648B" w:rsidP="0066667A">
            <w:pPr>
              <w:rPr>
                <w:rFonts w:asciiTheme="minorHAnsi" w:hAnsiTheme="minorHAnsi"/>
              </w:rPr>
            </w:pPr>
            <w:r w:rsidRPr="00D136A6">
              <w:rPr>
                <w:rFonts w:asciiTheme="minorHAnsi" w:hAnsiTheme="minorHAnsi"/>
                <w:color w:val="2A2A2A"/>
                <w:sz w:val="24"/>
                <w:szCs w:val="24"/>
              </w:rPr>
              <w:t>Signature d’un contrat avec la société chinoise Sinohydro, pour la construction de deux autoroutes avec de forts soupçons de corruption</w:t>
            </w:r>
          </w:p>
        </w:tc>
      </w:tr>
      <w:tr w:rsidR="00A3648B" w:rsidRPr="00D136A6">
        <w:tc>
          <w:tcPr>
            <w:tcW w:w="1696" w:type="dxa"/>
            <w:tcBorders>
              <w:top w:val="single" w:sz="4" w:space="0" w:color="000000"/>
              <w:left w:val="single" w:sz="4" w:space="0" w:color="000000"/>
              <w:bottom w:val="single" w:sz="4" w:space="0" w:color="000000"/>
            </w:tcBorders>
            <w:shd w:val="clear" w:color="auto" w:fill="auto"/>
          </w:tcPr>
          <w:p w:rsidR="00A3648B" w:rsidRPr="00D136A6" w:rsidRDefault="00A3648B" w:rsidP="0066667A">
            <w:pPr>
              <w:rPr>
                <w:rFonts w:asciiTheme="minorHAnsi" w:hAnsiTheme="minorHAnsi"/>
              </w:rPr>
            </w:pPr>
            <w:r w:rsidRPr="00D136A6">
              <w:rPr>
                <w:rFonts w:asciiTheme="minorHAnsi" w:hAnsiTheme="minorHAnsi"/>
                <w:sz w:val="24"/>
                <w:szCs w:val="24"/>
              </w:rPr>
              <w:t>Montenegro</w:t>
            </w:r>
          </w:p>
        </w:tc>
        <w:tc>
          <w:tcPr>
            <w:tcW w:w="7439" w:type="dxa"/>
            <w:tcBorders>
              <w:top w:val="single" w:sz="4" w:space="0" w:color="000000"/>
              <w:left w:val="single" w:sz="4" w:space="0" w:color="000000"/>
              <w:bottom w:val="single" w:sz="4" w:space="0" w:color="000000"/>
              <w:right w:val="single" w:sz="4" w:space="0" w:color="000000"/>
            </w:tcBorders>
            <w:shd w:val="clear" w:color="auto" w:fill="auto"/>
          </w:tcPr>
          <w:p w:rsidR="00A3648B" w:rsidRPr="00D136A6" w:rsidRDefault="002B3473" w:rsidP="0066667A">
            <w:pPr>
              <w:rPr>
                <w:rFonts w:asciiTheme="minorHAnsi" w:hAnsiTheme="minorHAnsi"/>
              </w:rPr>
            </w:pPr>
            <w:hyperlink r:id="rId14" w:history="1">
              <w:r w:rsidR="00A3648B" w:rsidRPr="00D136A6">
                <w:rPr>
                  <w:rStyle w:val="Lienhypertexte"/>
                  <w:rFonts w:asciiTheme="minorHAnsi" w:hAnsiTheme="minorHAnsi"/>
                  <w:color w:val="000000"/>
                  <w:sz w:val="24"/>
                  <w:szCs w:val="24"/>
                </w:rPr>
                <w:t>Exim Bank</w:t>
              </w:r>
            </w:hyperlink>
            <w:r w:rsidR="00A3648B" w:rsidRPr="00D136A6">
              <w:rPr>
                <w:rFonts w:asciiTheme="minorHAnsi" w:hAnsiTheme="minorHAnsi"/>
                <w:color w:val="000000"/>
                <w:sz w:val="24"/>
                <w:szCs w:val="24"/>
              </w:rPr>
              <w:t xml:space="preserve"> </w:t>
            </w:r>
            <w:r w:rsidR="00A3648B" w:rsidRPr="00D136A6">
              <w:rPr>
                <w:rFonts w:asciiTheme="minorHAnsi" w:hAnsiTheme="minorHAnsi"/>
                <w:color w:val="2A2A2A"/>
                <w:sz w:val="24"/>
                <w:szCs w:val="24"/>
              </w:rPr>
              <w:t>a alloué un crédit au Montenegro pour la construction de l’autoroute avec la compagnie China Communications Construction et sa filiale China Road and Bridge Corporatiuc</w:t>
            </w:r>
          </w:p>
        </w:tc>
      </w:tr>
      <w:tr w:rsidR="00A3648B" w:rsidRPr="00D136A6">
        <w:tc>
          <w:tcPr>
            <w:tcW w:w="1696" w:type="dxa"/>
            <w:tcBorders>
              <w:top w:val="single" w:sz="4" w:space="0" w:color="000000"/>
              <w:left w:val="single" w:sz="4" w:space="0" w:color="000000"/>
              <w:bottom w:val="single" w:sz="4" w:space="0" w:color="000000"/>
            </w:tcBorders>
            <w:shd w:val="clear" w:color="auto" w:fill="auto"/>
          </w:tcPr>
          <w:p w:rsidR="00A3648B" w:rsidRPr="00D136A6" w:rsidRDefault="00A3648B" w:rsidP="0066667A">
            <w:pPr>
              <w:rPr>
                <w:rFonts w:asciiTheme="minorHAnsi" w:hAnsiTheme="minorHAnsi"/>
                <w:color w:val="2A2A2A"/>
                <w:sz w:val="24"/>
                <w:szCs w:val="24"/>
              </w:rPr>
            </w:pPr>
            <w:r w:rsidRPr="00D136A6">
              <w:rPr>
                <w:rFonts w:asciiTheme="minorHAnsi" w:hAnsiTheme="minorHAnsi"/>
                <w:sz w:val="24"/>
                <w:szCs w:val="24"/>
              </w:rPr>
              <w:t>Roumanie</w:t>
            </w:r>
          </w:p>
        </w:tc>
        <w:tc>
          <w:tcPr>
            <w:tcW w:w="7439" w:type="dxa"/>
            <w:tcBorders>
              <w:top w:val="single" w:sz="4" w:space="0" w:color="000000"/>
              <w:left w:val="single" w:sz="4" w:space="0" w:color="000000"/>
              <w:bottom w:val="single" w:sz="4" w:space="0" w:color="000000"/>
              <w:right w:val="single" w:sz="4" w:space="0" w:color="000000"/>
            </w:tcBorders>
            <w:shd w:val="clear" w:color="auto" w:fill="auto"/>
          </w:tcPr>
          <w:p w:rsidR="00A3648B" w:rsidRPr="00D136A6" w:rsidRDefault="00A3648B" w:rsidP="0066667A">
            <w:pPr>
              <w:rPr>
                <w:rFonts w:asciiTheme="minorHAnsi" w:hAnsiTheme="minorHAnsi"/>
                <w:color w:val="2A2A2A"/>
                <w:sz w:val="24"/>
                <w:szCs w:val="24"/>
              </w:rPr>
            </w:pPr>
            <w:r w:rsidRPr="00D136A6">
              <w:rPr>
                <w:rFonts w:asciiTheme="minorHAnsi" w:hAnsiTheme="minorHAnsi"/>
                <w:color w:val="2A2A2A"/>
                <w:sz w:val="24"/>
                <w:szCs w:val="24"/>
              </w:rPr>
              <w:t>Entrée de  China General Nuclear Power Corporation dans le capital d’EnergoNuclear après le départ des investisseurs européens. Investissement dans une nouvelle centrale</w:t>
            </w:r>
          </w:p>
          <w:p w:rsidR="00A3648B" w:rsidRPr="00D136A6" w:rsidRDefault="00A3648B" w:rsidP="0066667A">
            <w:pPr>
              <w:rPr>
                <w:rFonts w:asciiTheme="minorHAnsi" w:hAnsiTheme="minorHAnsi"/>
                <w:color w:val="2A2A2A"/>
                <w:sz w:val="24"/>
                <w:szCs w:val="24"/>
              </w:rPr>
            </w:pPr>
            <w:r w:rsidRPr="00D136A6">
              <w:rPr>
                <w:rFonts w:asciiTheme="minorHAnsi" w:hAnsiTheme="minorHAnsi"/>
                <w:color w:val="2A2A2A"/>
                <w:sz w:val="24"/>
                <w:szCs w:val="24"/>
              </w:rPr>
              <w:t>Construction d’un train à  grande vitesse</w:t>
            </w:r>
          </w:p>
          <w:p w:rsidR="00A3648B" w:rsidRPr="00D136A6" w:rsidRDefault="00A3648B" w:rsidP="0066667A">
            <w:pPr>
              <w:rPr>
                <w:rFonts w:asciiTheme="minorHAnsi" w:hAnsiTheme="minorHAnsi"/>
              </w:rPr>
            </w:pPr>
            <w:r w:rsidRPr="00D136A6">
              <w:rPr>
                <w:rFonts w:asciiTheme="minorHAnsi" w:hAnsiTheme="minorHAnsi"/>
                <w:color w:val="2A2A2A"/>
                <w:sz w:val="24"/>
                <w:szCs w:val="24"/>
              </w:rPr>
              <w:t>Investissement de Huawai dans les télécom, création d’une base européenne à partir de la Roumanie</w:t>
            </w:r>
          </w:p>
        </w:tc>
      </w:tr>
      <w:tr w:rsidR="00A3648B" w:rsidRPr="00D136A6">
        <w:trPr>
          <w:trHeight w:val="1675"/>
        </w:trPr>
        <w:tc>
          <w:tcPr>
            <w:tcW w:w="1696" w:type="dxa"/>
            <w:tcBorders>
              <w:top w:val="single" w:sz="4" w:space="0" w:color="000000"/>
              <w:left w:val="single" w:sz="4" w:space="0" w:color="000000"/>
              <w:bottom w:val="single" w:sz="4" w:space="0" w:color="000000"/>
            </w:tcBorders>
            <w:shd w:val="clear" w:color="auto" w:fill="auto"/>
          </w:tcPr>
          <w:p w:rsidR="00A3648B" w:rsidRPr="00D136A6" w:rsidRDefault="00A3648B" w:rsidP="0066667A">
            <w:pPr>
              <w:rPr>
                <w:rFonts w:asciiTheme="minorHAnsi" w:hAnsiTheme="minorHAnsi"/>
                <w:sz w:val="24"/>
                <w:szCs w:val="24"/>
              </w:rPr>
            </w:pPr>
            <w:r w:rsidRPr="00D136A6">
              <w:rPr>
                <w:rFonts w:asciiTheme="minorHAnsi" w:hAnsiTheme="minorHAnsi"/>
                <w:sz w:val="24"/>
                <w:szCs w:val="24"/>
              </w:rPr>
              <w:t>Serbie</w:t>
            </w:r>
          </w:p>
        </w:tc>
        <w:tc>
          <w:tcPr>
            <w:tcW w:w="7439" w:type="dxa"/>
            <w:tcBorders>
              <w:top w:val="single" w:sz="4" w:space="0" w:color="000000"/>
              <w:left w:val="single" w:sz="4" w:space="0" w:color="000000"/>
              <w:bottom w:val="single" w:sz="4" w:space="0" w:color="000000"/>
              <w:right w:val="single" w:sz="4" w:space="0" w:color="000000"/>
            </w:tcBorders>
            <w:shd w:val="clear" w:color="auto" w:fill="auto"/>
          </w:tcPr>
          <w:p w:rsidR="00A3648B" w:rsidRPr="00D136A6" w:rsidRDefault="00A3648B" w:rsidP="0066667A">
            <w:pPr>
              <w:rPr>
                <w:rFonts w:asciiTheme="minorHAnsi" w:hAnsiTheme="minorHAnsi"/>
                <w:sz w:val="24"/>
                <w:szCs w:val="24"/>
              </w:rPr>
            </w:pPr>
            <w:r w:rsidRPr="00D136A6">
              <w:rPr>
                <w:rFonts w:asciiTheme="minorHAnsi" w:hAnsiTheme="minorHAnsi"/>
                <w:sz w:val="24"/>
                <w:szCs w:val="24"/>
              </w:rPr>
              <w:t>Forte présence de petits commerces lancés par les migrants chinois.</w:t>
            </w:r>
          </w:p>
          <w:p w:rsidR="00A3648B" w:rsidRPr="00D136A6" w:rsidRDefault="00A3648B" w:rsidP="0066667A">
            <w:pPr>
              <w:rPr>
                <w:rFonts w:asciiTheme="minorHAnsi" w:hAnsiTheme="minorHAnsi"/>
                <w:sz w:val="24"/>
                <w:szCs w:val="24"/>
              </w:rPr>
            </w:pPr>
            <w:r w:rsidRPr="00D136A6">
              <w:rPr>
                <w:rFonts w:asciiTheme="minorHAnsi" w:hAnsiTheme="minorHAnsi"/>
                <w:sz w:val="24"/>
                <w:szCs w:val="24"/>
              </w:rPr>
              <w:t>Grandes compagnies chinoises dans le commerce de gros</w:t>
            </w:r>
          </w:p>
          <w:p w:rsidR="00A3648B" w:rsidRPr="00D136A6" w:rsidRDefault="00A3648B" w:rsidP="0066667A">
            <w:pPr>
              <w:rPr>
                <w:rFonts w:asciiTheme="minorHAnsi" w:hAnsiTheme="minorHAnsi"/>
                <w:sz w:val="24"/>
                <w:szCs w:val="24"/>
              </w:rPr>
            </w:pPr>
            <w:r w:rsidRPr="00D136A6">
              <w:rPr>
                <w:rFonts w:asciiTheme="minorHAnsi" w:hAnsiTheme="minorHAnsi"/>
                <w:sz w:val="24"/>
                <w:szCs w:val="24"/>
              </w:rPr>
              <w:t>Investissement de Huawai dans les télécom</w:t>
            </w:r>
          </w:p>
          <w:p w:rsidR="00A3648B" w:rsidRPr="00D136A6" w:rsidRDefault="00A3648B" w:rsidP="0066667A">
            <w:pPr>
              <w:rPr>
                <w:rFonts w:asciiTheme="minorHAnsi" w:hAnsiTheme="minorHAnsi"/>
                <w:sz w:val="24"/>
                <w:szCs w:val="24"/>
              </w:rPr>
            </w:pPr>
            <w:r w:rsidRPr="00D136A6">
              <w:rPr>
                <w:rFonts w:asciiTheme="minorHAnsi" w:hAnsiTheme="minorHAnsi"/>
                <w:sz w:val="24"/>
                <w:szCs w:val="24"/>
              </w:rPr>
              <w:t>Infrastructure, construction d’un pont sur le Danube, financement d’une voie de chemin de fer à grande vitesse entre Belgrade et Budapest</w:t>
            </w:r>
          </w:p>
          <w:p w:rsidR="00A3648B" w:rsidRPr="00D136A6" w:rsidRDefault="00A3648B" w:rsidP="0066667A">
            <w:pPr>
              <w:rPr>
                <w:rFonts w:asciiTheme="minorHAnsi" w:hAnsiTheme="minorHAnsi"/>
                <w:sz w:val="24"/>
                <w:szCs w:val="24"/>
              </w:rPr>
            </w:pPr>
            <w:r w:rsidRPr="00D136A6">
              <w:rPr>
                <w:rFonts w:asciiTheme="minorHAnsi" w:hAnsiTheme="minorHAnsi"/>
                <w:sz w:val="24"/>
                <w:szCs w:val="24"/>
              </w:rPr>
              <w:t>Présence de EXIM Bank, modernisation du réseau national d’électricité</w:t>
            </w:r>
          </w:p>
          <w:p w:rsidR="00A3648B" w:rsidRPr="00D136A6" w:rsidRDefault="00A3648B" w:rsidP="0066667A">
            <w:pPr>
              <w:rPr>
                <w:rFonts w:asciiTheme="minorHAnsi" w:hAnsiTheme="minorHAnsi"/>
              </w:rPr>
            </w:pPr>
            <w:r w:rsidRPr="00D136A6">
              <w:rPr>
                <w:rFonts w:asciiTheme="minorHAnsi" w:hAnsiTheme="minorHAnsi"/>
                <w:sz w:val="24"/>
                <w:szCs w:val="24"/>
              </w:rPr>
              <w:t>Participation de firmes chinoises à la construction de l’autoroute Belgrade-Bar</w:t>
            </w:r>
          </w:p>
        </w:tc>
      </w:tr>
    </w:tbl>
    <w:p w:rsidR="00A3648B" w:rsidRPr="00D136A6" w:rsidRDefault="00A3648B" w:rsidP="00A3648B">
      <w:pPr>
        <w:spacing w:line="360" w:lineRule="auto"/>
        <w:rPr>
          <w:rFonts w:asciiTheme="minorHAnsi" w:hAnsiTheme="minorHAnsi"/>
          <w:sz w:val="24"/>
          <w:szCs w:val="24"/>
        </w:rPr>
      </w:pPr>
    </w:p>
    <w:p w:rsidR="00A3648B" w:rsidRPr="00D136A6" w:rsidRDefault="00A3648B" w:rsidP="00D136A6">
      <w:pPr>
        <w:spacing w:line="360" w:lineRule="auto"/>
        <w:jc w:val="both"/>
        <w:rPr>
          <w:rFonts w:asciiTheme="minorHAnsi" w:hAnsiTheme="minorHAnsi"/>
          <w:color w:val="1C1C1C"/>
          <w:sz w:val="24"/>
          <w:szCs w:val="24"/>
          <w:lang w:val="en-US"/>
        </w:rPr>
      </w:pPr>
    </w:p>
    <w:p w:rsidR="00D136A6" w:rsidRPr="00D136A6" w:rsidRDefault="00D136A6" w:rsidP="00D136A6">
      <w:pPr>
        <w:spacing w:line="360" w:lineRule="auto"/>
        <w:jc w:val="both"/>
        <w:rPr>
          <w:rFonts w:asciiTheme="minorHAnsi" w:hAnsiTheme="minorHAnsi"/>
          <w:color w:val="1C1C1C"/>
          <w:sz w:val="24"/>
          <w:szCs w:val="24"/>
        </w:rPr>
      </w:pPr>
      <w:r w:rsidRPr="00D136A6">
        <w:rPr>
          <w:rFonts w:asciiTheme="minorHAnsi" w:hAnsiTheme="minorHAnsi"/>
          <w:color w:val="1C1C1C"/>
          <w:sz w:val="24"/>
          <w:szCs w:val="24"/>
        </w:rPr>
        <w:tab/>
        <w:t xml:space="preserve">Les Balkans ouvrent-t-ils une entrée Sud aux IDE chinois ? On a évoqué les facteurs géopolitiques (l’intégration difficile des Balkans à l’Union européenne, la création d’une alliance 1+16), on a évoqué les stratégies de conquête par le sud. </w:t>
      </w:r>
    </w:p>
    <w:p w:rsidR="00D136A6" w:rsidRPr="00D136A6" w:rsidRDefault="00D136A6" w:rsidP="00D136A6">
      <w:pPr>
        <w:spacing w:line="360" w:lineRule="auto"/>
        <w:jc w:val="both"/>
        <w:rPr>
          <w:rFonts w:asciiTheme="minorHAnsi" w:hAnsiTheme="minorHAnsi"/>
          <w:color w:val="1C1C1C"/>
          <w:sz w:val="24"/>
          <w:szCs w:val="24"/>
        </w:rPr>
      </w:pPr>
    </w:p>
    <w:p w:rsidR="00D136A6" w:rsidRPr="00D136A6" w:rsidRDefault="00D136A6" w:rsidP="00A3648B">
      <w:pPr>
        <w:spacing w:line="360" w:lineRule="auto"/>
        <w:ind w:firstLine="708"/>
        <w:jc w:val="both"/>
        <w:rPr>
          <w:rFonts w:asciiTheme="minorHAnsi" w:hAnsiTheme="minorHAnsi"/>
          <w:color w:val="1C1C1C"/>
          <w:sz w:val="24"/>
          <w:szCs w:val="24"/>
        </w:rPr>
      </w:pPr>
      <w:r w:rsidRPr="00D136A6">
        <w:rPr>
          <w:rFonts w:asciiTheme="minorHAnsi" w:hAnsiTheme="minorHAnsi"/>
          <w:color w:val="1C1C1C"/>
          <w:sz w:val="24"/>
          <w:szCs w:val="24"/>
        </w:rPr>
        <w:t xml:space="preserve">Les économies fragiles de la région pensent aussi à l’importance d’une présence chinoise pour combler le manque de capital pour mettre/remettre à niveau leur économie. Les volumes concernés sont faibles (tableau 6). </w:t>
      </w:r>
    </w:p>
    <w:p w:rsidR="00D136A6" w:rsidRPr="00D136A6" w:rsidRDefault="00D136A6" w:rsidP="00D136A6">
      <w:pPr>
        <w:spacing w:line="360" w:lineRule="auto"/>
        <w:jc w:val="both"/>
        <w:rPr>
          <w:rFonts w:asciiTheme="minorHAnsi" w:hAnsiTheme="minorHAnsi"/>
          <w:sz w:val="24"/>
          <w:szCs w:val="24"/>
        </w:rPr>
      </w:pPr>
      <w:r w:rsidRPr="00D136A6">
        <w:rPr>
          <w:rFonts w:asciiTheme="minorHAnsi" w:hAnsiTheme="minorHAnsi"/>
          <w:color w:val="1C1C1C"/>
          <w:sz w:val="24"/>
          <w:szCs w:val="24"/>
        </w:rPr>
        <w:tab/>
        <w:t>En outre, dans plusieurs cas, il est difficile de parler d’investissements chinois au sens de délocalisation d’activités. Dans de nombreux cas, la présence chinoise se matérialise par la signature d’accords-cadres qui fixent le niveau des montants financiers mobilisés par les différentes parties pour réaliser la construction d’équipements, de la modernisation de ports, de voies de chemin de fer, de centrales électriques et atomiques, dont les firmes chinoises sont les maîtres d’œuvre. Il est difficile de parler dans ce cas d’IDE impliquant la délocalisation d’activités, le contrôle ou la construction de nouvelles firmes (figure 7). Par ailleurs, l’entrée de capitaux chinois est actuellement freinée par l’insolvabilité et l’endettement des Etats qui refusent d’accorder des crédits garantis pour soutenir le financement des projets. Ceci explique selon les observateurs de la région que le gouvernement chinois cherche à associer directement Bruxelles pour apporter la garantie d’accords financiers avec des pays de la région</w:t>
      </w:r>
      <w:r w:rsidRPr="00D136A6">
        <w:rPr>
          <w:rStyle w:val="Appelnotedebasdep1"/>
          <w:rFonts w:asciiTheme="minorHAnsi" w:hAnsiTheme="minorHAnsi"/>
          <w:sz w:val="24"/>
          <w:szCs w:val="24"/>
        </w:rPr>
        <w:footnoteReference w:id="40"/>
      </w:r>
      <w:r w:rsidRPr="00D136A6">
        <w:rPr>
          <w:rStyle w:val="Appelnotedebasdep1"/>
          <w:rFonts w:asciiTheme="minorHAnsi" w:hAnsiTheme="minorHAnsi"/>
          <w:sz w:val="24"/>
          <w:szCs w:val="24"/>
        </w:rPr>
        <w:t> .</w:t>
      </w:r>
    </w:p>
    <w:p w:rsidR="00D136A6" w:rsidRPr="00D136A6" w:rsidRDefault="00D136A6" w:rsidP="00D136A6">
      <w:pPr>
        <w:spacing w:line="360" w:lineRule="auto"/>
        <w:jc w:val="both"/>
        <w:rPr>
          <w:rFonts w:asciiTheme="minorHAnsi" w:hAnsiTheme="minorHAnsi"/>
          <w:sz w:val="24"/>
          <w:szCs w:val="24"/>
        </w:rPr>
      </w:pPr>
    </w:p>
    <w:p w:rsidR="00D136A6" w:rsidRPr="00D136A6" w:rsidRDefault="00D136A6" w:rsidP="00D136A6">
      <w:pPr>
        <w:spacing w:line="360" w:lineRule="auto"/>
        <w:jc w:val="both"/>
        <w:rPr>
          <w:rFonts w:asciiTheme="minorHAnsi" w:hAnsiTheme="minorHAnsi"/>
          <w:sz w:val="24"/>
          <w:szCs w:val="24"/>
        </w:rPr>
      </w:pPr>
      <w:r w:rsidRPr="00D136A6">
        <w:rPr>
          <w:rFonts w:asciiTheme="minorHAnsi" w:hAnsiTheme="minorHAnsi"/>
          <w:b/>
          <w:bCs/>
          <w:sz w:val="24"/>
          <w:szCs w:val="24"/>
        </w:rPr>
        <w:tab/>
        <w:t>Conclusion</w:t>
      </w:r>
    </w:p>
    <w:p w:rsidR="00D136A6" w:rsidRPr="00D136A6" w:rsidRDefault="00D136A6" w:rsidP="00D136A6">
      <w:pPr>
        <w:spacing w:line="360" w:lineRule="auto"/>
        <w:jc w:val="both"/>
        <w:rPr>
          <w:rFonts w:asciiTheme="minorHAnsi" w:hAnsiTheme="minorHAnsi"/>
          <w:sz w:val="24"/>
          <w:szCs w:val="24"/>
        </w:rPr>
      </w:pPr>
    </w:p>
    <w:p w:rsidR="00D136A6" w:rsidRPr="00D136A6" w:rsidRDefault="00D136A6" w:rsidP="00D136A6">
      <w:pPr>
        <w:spacing w:line="360" w:lineRule="auto"/>
        <w:jc w:val="both"/>
        <w:rPr>
          <w:rFonts w:asciiTheme="minorHAnsi" w:hAnsiTheme="minorHAnsi"/>
          <w:sz w:val="24"/>
          <w:szCs w:val="24"/>
        </w:rPr>
      </w:pPr>
      <w:r w:rsidRPr="00D136A6">
        <w:rPr>
          <w:rFonts w:asciiTheme="minorHAnsi" w:hAnsiTheme="minorHAnsi"/>
          <w:sz w:val="24"/>
          <w:szCs w:val="24"/>
        </w:rPr>
        <w:tab/>
        <w:t xml:space="preserve">Les IDE chinois ont connu une expansion soutenue, globalement et particulièrement en Europe au cours des 15 dernières années. Cette expansion a été nourrie par la forte accumulation de réserves engendrées par le modèle de croissance tiré par les exportations, par la recherche d’actifs stratégiques, enfin par la recherche de marchés pour les firmes chinoises subissant une concurrence croissante à domicile et cherchant à profiter de leur avantage concurrentiel et organisationnel (rattrapage rapide, acquisition de nouvelles méthodes de management). </w:t>
      </w:r>
    </w:p>
    <w:p w:rsidR="00D136A6" w:rsidRPr="00D136A6" w:rsidRDefault="00D136A6" w:rsidP="00D136A6">
      <w:pPr>
        <w:spacing w:line="360" w:lineRule="auto"/>
        <w:jc w:val="both"/>
        <w:rPr>
          <w:rFonts w:asciiTheme="minorHAnsi" w:hAnsiTheme="minorHAnsi"/>
          <w:sz w:val="24"/>
          <w:szCs w:val="24"/>
        </w:rPr>
      </w:pPr>
      <w:r w:rsidRPr="00D136A6">
        <w:rPr>
          <w:rFonts w:asciiTheme="minorHAnsi" w:hAnsiTheme="minorHAnsi"/>
          <w:sz w:val="24"/>
          <w:szCs w:val="24"/>
        </w:rPr>
        <w:tab/>
        <w:t xml:space="preserve">Derrière cette forte croissance on trouve trois types d’investisseurs. Les grandes firmes d’état chinois, les champions nationaux qui ont su accroître leurs compétences et spécialisations, d’un côté, qui ont été stimulées de différentes façons de l’autre (facilitation de l’accès au marché, à la recherche-développement, au financement) pour devenir globales. Ces grandes entreprises, en Europe, se trouvent au cœur du système industriel européen (UE-15, notamment Grande Bretagne, Allemagne, France). Une autre catégorie d’entreprises est apparue, les sociétés privées non-étatiques, dans l’industrie, les services, la finance, qui ont  également essaimé dans la région via les acquisitions. Leurs motivations sont partiellement les mêmes que les entreprises d’état ; elles cherchent aussi de nouvelles opportunités en termes de parts de marché, d’une part, à rechercher les actifs qui font défaut en Chine pour monter en gamme de l’autre. </w:t>
      </w:r>
    </w:p>
    <w:p w:rsidR="00D136A6" w:rsidRPr="00D136A6" w:rsidRDefault="00D136A6" w:rsidP="00D136A6">
      <w:pPr>
        <w:spacing w:line="360" w:lineRule="auto"/>
        <w:ind w:firstLine="708"/>
        <w:jc w:val="both"/>
        <w:rPr>
          <w:rFonts w:asciiTheme="minorHAnsi" w:hAnsiTheme="minorHAnsi"/>
          <w:sz w:val="24"/>
          <w:szCs w:val="24"/>
        </w:rPr>
      </w:pPr>
      <w:r w:rsidRPr="00D136A6">
        <w:rPr>
          <w:rFonts w:asciiTheme="minorHAnsi" w:hAnsiTheme="minorHAnsi"/>
          <w:sz w:val="24"/>
          <w:szCs w:val="24"/>
        </w:rPr>
        <w:t>En termes d’insertion dans des chaînes de valeur, les IDE réalisés par ces firmes visent plutôt à se placer  en amont dans les chaînes occidentales plutôt que de construire des chaînes autour des firmes chinoises. Phénomène nouveau, la diversification des investissements dans d’autres secteurs (immobiliers, finances) devient significative en volume et en nombre d’implantations. Une dernière catégorie composée de firmes « ethno-chinoises », de firmes entrepreneuriales émerge, très nombreuses mais faibles en volumes d’investissement.</w:t>
      </w:r>
    </w:p>
    <w:p w:rsidR="00D136A6" w:rsidRPr="00D136A6" w:rsidRDefault="00D136A6" w:rsidP="00D136A6">
      <w:pPr>
        <w:spacing w:line="360" w:lineRule="auto"/>
        <w:jc w:val="both"/>
        <w:rPr>
          <w:rFonts w:asciiTheme="minorHAnsi" w:hAnsiTheme="minorHAnsi"/>
          <w:sz w:val="24"/>
          <w:szCs w:val="24"/>
        </w:rPr>
      </w:pPr>
      <w:r w:rsidRPr="00D136A6">
        <w:rPr>
          <w:rFonts w:asciiTheme="minorHAnsi" w:hAnsiTheme="minorHAnsi"/>
          <w:sz w:val="24"/>
          <w:szCs w:val="24"/>
        </w:rPr>
        <w:tab/>
        <w:t>Sur le plan de la distribution spatiale on observe une forte asymétrie : les firmes d’Etat, les sociétés de capitaux de l’industrie et des services investissement majoritairement dans l’UE-15, via des coopérations (</w:t>
      </w:r>
      <w:r w:rsidRPr="00D136A6">
        <w:rPr>
          <w:rFonts w:asciiTheme="minorHAnsi" w:hAnsiTheme="minorHAnsi"/>
          <w:i/>
          <w:sz w:val="24"/>
          <w:szCs w:val="24"/>
        </w:rPr>
        <w:t>Joint-ventures</w:t>
      </w:r>
      <w:r w:rsidRPr="00D136A6">
        <w:rPr>
          <w:rFonts w:asciiTheme="minorHAnsi" w:hAnsiTheme="minorHAnsi"/>
          <w:sz w:val="24"/>
          <w:szCs w:val="24"/>
        </w:rPr>
        <w:t>), des acquisitions alors qu’à l’Est, en bien moindre volumes financiers mais en plus grand nombre, on trouve des IDE de type investissement vierges et familiaux.</w:t>
      </w:r>
    </w:p>
    <w:p w:rsidR="00D136A6" w:rsidRPr="00D136A6" w:rsidRDefault="00D136A6" w:rsidP="00D136A6">
      <w:pPr>
        <w:spacing w:line="360" w:lineRule="auto"/>
        <w:jc w:val="both"/>
        <w:rPr>
          <w:rFonts w:asciiTheme="minorHAnsi" w:hAnsiTheme="minorHAnsi"/>
          <w:sz w:val="24"/>
          <w:szCs w:val="24"/>
        </w:rPr>
      </w:pPr>
      <w:r w:rsidRPr="00D136A6">
        <w:rPr>
          <w:rFonts w:asciiTheme="minorHAnsi" w:hAnsiTheme="minorHAnsi"/>
          <w:sz w:val="24"/>
          <w:szCs w:val="24"/>
        </w:rPr>
        <w:tab/>
        <w:t>L’Europe de sud-est (dont les Balkans) constitue une particularité au croisement de différentes stratégies chinoises. Une stratégie géopolitique ? Profiter de la faiblesse politique de l’UE dans la région pour construire une zone d’influence ? Une stratégie commerciale ? La région au sud, c’est la fin du long chemin que la Chine est en train de construire (</w:t>
      </w:r>
      <w:r w:rsidRPr="00D136A6">
        <w:rPr>
          <w:rFonts w:asciiTheme="minorHAnsi" w:hAnsiTheme="minorHAnsi"/>
          <w:i/>
          <w:sz w:val="24"/>
          <w:szCs w:val="24"/>
        </w:rPr>
        <w:t>One Belt, One Road</w:t>
      </w:r>
      <w:r w:rsidRPr="00D136A6">
        <w:rPr>
          <w:rFonts w:asciiTheme="minorHAnsi" w:hAnsiTheme="minorHAnsi"/>
          <w:sz w:val="24"/>
          <w:szCs w:val="24"/>
        </w:rPr>
        <w:t>). Les marchandises chinoises à la sortie du canal de Suez arrivent à Athènes et doivent remonter, par rail, vers le nord-ouest et l’est de l’Europe. Ceci explique la multiplication de projets de construction d’infrastructures de chemin de fer et routières par des firmes chinoises. Les investissements dans l’énergie en Bosnie, en Roumanie servent de terrain pour entrer sur des marchés plus prometteurs comme ceux de l’Union européenne (centrales nucléaires en Grande Bretagne).</w:t>
      </w:r>
    </w:p>
    <w:p w:rsidR="00D136A6" w:rsidRPr="00D136A6" w:rsidRDefault="00D136A6" w:rsidP="00D136A6">
      <w:pPr>
        <w:spacing w:line="360" w:lineRule="auto"/>
        <w:jc w:val="both"/>
        <w:rPr>
          <w:rFonts w:asciiTheme="minorHAnsi" w:hAnsiTheme="minorHAnsi"/>
          <w:sz w:val="24"/>
          <w:szCs w:val="24"/>
        </w:rPr>
      </w:pPr>
      <w:r w:rsidRPr="00D136A6">
        <w:rPr>
          <w:rFonts w:asciiTheme="minorHAnsi" w:hAnsiTheme="minorHAnsi"/>
          <w:sz w:val="24"/>
          <w:szCs w:val="24"/>
        </w:rPr>
        <w:tab/>
        <w:t>La Chine qui subit présentement des revers économiques (baisse de la croissance, instabilité financières, dévissement des cours de la bourse, difficulté à changer son modèle de croissance) va voir ses réserves de changes, donc ses capacités d’investissements, se réduire et certainement affecter, d’une manière ou d’une autre, les IDE en Europe. Par ailleurs, les difficultés de l’intégration de ces firmes dans le modèle chinois de gestion sont une autre source d’interrogation sur la future trajectoire des IDE chinois en direction des économies de marché à hauts revenus dont fait partie l’UE.</w:t>
      </w:r>
    </w:p>
    <w:p w:rsidR="008173CB" w:rsidRPr="00D136A6" w:rsidRDefault="005833D7">
      <w:pPr>
        <w:rPr>
          <w:rFonts w:asciiTheme="minorHAnsi" w:hAnsiTheme="minorHAnsi"/>
        </w:rPr>
      </w:pPr>
      <w:bookmarkStart w:id="1" w:name="_GoBack"/>
      <w:bookmarkEnd w:id="1"/>
    </w:p>
    <w:sectPr w:rsidR="008173CB" w:rsidRPr="00D136A6" w:rsidSect="00EA5C31">
      <w:pgSz w:w="11900" w:h="16840"/>
      <w:pgMar w:top="1417" w:right="1417" w:bottom="1417" w:left="1417" w:header="708" w:footer="708" w:gutter="0"/>
      <w:cols w:space="708"/>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F447F8" w:rsidRDefault="00F447F8" w:rsidP="00D136A6">
      <w:r>
        <w:separator/>
      </w:r>
    </w:p>
  </w:endnote>
  <w:endnote w:type="continuationSeparator" w:id="1">
    <w:p w:rsidR="00F447F8" w:rsidRDefault="00F447F8" w:rsidP="00D136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auto"/>
    <w:pitch w:val="variable"/>
    <w:sig w:usb0="A00002EF" w:usb1="4000207B" w:usb2="00000000" w:usb3="00000000" w:csb0="0000019F"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F447F8" w:rsidRDefault="00F447F8" w:rsidP="00D136A6">
      <w:r>
        <w:separator/>
      </w:r>
    </w:p>
  </w:footnote>
  <w:footnote w:type="continuationSeparator" w:id="1">
    <w:p w:rsidR="00F447F8" w:rsidRDefault="00F447F8" w:rsidP="00D136A6">
      <w:r>
        <w:continuationSeparator/>
      </w:r>
    </w:p>
  </w:footnote>
  <w:footnote w:id="2">
    <w:p w:rsidR="00D136A6" w:rsidRDefault="00D136A6" w:rsidP="00D136A6">
      <w:r>
        <w:rPr>
          <w:rStyle w:val="FootnoteCharacters"/>
        </w:rPr>
        <w:footnoteRef/>
      </w:r>
      <w:r>
        <w:br w:type="page"/>
      </w:r>
      <w:r>
        <w:rPr>
          <w:sz w:val="18"/>
          <w:szCs w:val="18"/>
        </w:rPr>
        <w:tab/>
        <w:t xml:space="preserve"> La rédaction de cet article a bénéficié du soutien du programme BALKINT(www.Balkint.eu) financé par l’Union européenne. L’auteur tient à remercier pour leurs remarques constructives les participants à plusieurs séminaires et conférences qui se sont tenus à Paris, Pékin, Sofia, Moscou, Belgrade. Il remercie tout particulièrement Guilhem Fabre et Thierry Pairault pour leurs remarques.</w:t>
      </w:r>
    </w:p>
  </w:footnote>
  <w:footnote w:id="3">
    <w:p w:rsidR="00D136A6" w:rsidRDefault="00D136A6" w:rsidP="00D136A6">
      <w:pPr>
        <w:pStyle w:val="Notedebasdepage1"/>
        <w:jc w:val="both"/>
      </w:pPr>
      <w:r>
        <w:rPr>
          <w:rStyle w:val="FootnoteCharacters"/>
        </w:rPr>
        <w:footnoteRef/>
      </w:r>
      <w:r>
        <w:rPr>
          <w:sz w:val="18"/>
          <w:szCs w:val="18"/>
        </w:rPr>
        <w:tab/>
        <w:t xml:space="preserve"> Jean-Paul GUICHARD, </w:t>
      </w:r>
      <w:r>
        <w:rPr>
          <w:i/>
          <w:sz w:val="18"/>
          <w:szCs w:val="18"/>
        </w:rPr>
        <w:t>L’Etat-Parti chinois et les multinationales. L’inquiétante alliance</w:t>
      </w:r>
      <w:r>
        <w:rPr>
          <w:sz w:val="18"/>
          <w:szCs w:val="18"/>
        </w:rPr>
        <w:t>, L’Harmattan, Paris, 2014.</w:t>
      </w:r>
    </w:p>
  </w:footnote>
  <w:footnote w:id="4">
    <w:p w:rsidR="00D136A6" w:rsidRDefault="00D136A6" w:rsidP="00D136A6">
      <w:pPr>
        <w:jc w:val="both"/>
      </w:pPr>
      <w:r>
        <w:rPr>
          <w:rStyle w:val="FootnoteCharacters"/>
        </w:rPr>
        <w:footnoteRef/>
      </w:r>
      <w:r>
        <w:rPr>
          <w:rStyle w:val="Marquenotebasdepage1"/>
          <w:sz w:val="18"/>
          <w:szCs w:val="18"/>
        </w:rPr>
        <w:tab/>
      </w:r>
      <w:r>
        <w:rPr>
          <w:sz w:val="18"/>
          <w:szCs w:val="18"/>
        </w:rPr>
        <w:t xml:space="preserve"> Outre-Terre, </w:t>
      </w:r>
      <w:r>
        <w:rPr>
          <w:i/>
          <w:sz w:val="18"/>
          <w:szCs w:val="18"/>
        </w:rPr>
        <w:t>Chinafrique avez-vous dit ?</w:t>
      </w:r>
      <w:r>
        <w:rPr>
          <w:sz w:val="18"/>
          <w:szCs w:val="18"/>
        </w:rPr>
        <w:t>, Paris, 2011, n° 30.</w:t>
      </w:r>
    </w:p>
  </w:footnote>
  <w:footnote w:id="5">
    <w:p w:rsidR="00D136A6" w:rsidRDefault="00D136A6" w:rsidP="00D136A6">
      <w:pPr>
        <w:pStyle w:val="Notedebasdepage1"/>
        <w:jc w:val="both"/>
      </w:pPr>
      <w:r>
        <w:rPr>
          <w:rStyle w:val="FootnoteCharacters"/>
        </w:rPr>
        <w:footnoteRef/>
      </w:r>
      <w:r>
        <w:rPr>
          <w:sz w:val="18"/>
          <w:szCs w:val="18"/>
        </w:rPr>
        <w:tab/>
        <w:t xml:space="preserve"> EU-28= EU 15 plus 13 Nouveaux Etats Membres (dont 11 anciennes économies socialistes).</w:t>
      </w:r>
    </w:p>
  </w:footnote>
  <w:footnote w:id="6">
    <w:p w:rsidR="00D136A6" w:rsidRDefault="00D136A6" w:rsidP="00D136A6">
      <w:pPr>
        <w:jc w:val="both"/>
      </w:pPr>
      <w:r>
        <w:rPr>
          <w:rStyle w:val="FootnoteCharacters"/>
        </w:rPr>
        <w:footnoteRef/>
      </w:r>
      <w:r>
        <w:rPr>
          <w:color w:val="000000"/>
          <w:sz w:val="18"/>
          <w:szCs w:val="18"/>
        </w:rPr>
        <w:tab/>
        <w:t xml:space="preserve"> Xavier RICHET, </w:t>
      </w:r>
      <w:r>
        <w:rPr>
          <w:i/>
          <w:color w:val="000000"/>
          <w:sz w:val="18"/>
          <w:szCs w:val="18"/>
          <w:lang w:val="en-US"/>
        </w:rPr>
        <w:t>Regional development and intra-firm networks in the enlarged European Union: the role of Foreign Direct Investment,</w:t>
      </w:r>
      <w:r>
        <w:rPr>
          <w:color w:val="000000"/>
          <w:sz w:val="18"/>
          <w:szCs w:val="18"/>
          <w:lang w:val="en-US"/>
        </w:rPr>
        <w:t xml:space="preserve"> in </w:t>
      </w:r>
      <w:r>
        <w:rPr>
          <w:color w:val="000000"/>
          <w:sz w:val="18"/>
          <w:szCs w:val="18"/>
        </w:rPr>
        <w:t xml:space="preserve">Srdjan REDZEPAGIC, Xavier RICHET (Eds.) </w:t>
      </w:r>
      <w:r>
        <w:rPr>
          <w:i/>
          <w:color w:val="000000"/>
          <w:sz w:val="18"/>
          <w:szCs w:val="18"/>
          <w:lang w:val="en-US"/>
        </w:rPr>
        <w:t>Western Balkans  Integrating the EU : Challenges, Policies, Issues</w:t>
      </w:r>
      <w:r>
        <w:rPr>
          <w:color w:val="000000"/>
          <w:sz w:val="18"/>
          <w:szCs w:val="18"/>
          <w:lang w:val="en-US"/>
        </w:rPr>
        <w:t>, CEMAFI international, Nice, 2016.</w:t>
      </w:r>
    </w:p>
  </w:footnote>
  <w:footnote w:id="7">
    <w:p w:rsidR="00D136A6" w:rsidRDefault="00D136A6" w:rsidP="00D136A6">
      <w:pPr>
        <w:jc w:val="both"/>
      </w:pPr>
      <w:r>
        <w:rPr>
          <w:rStyle w:val="FootnoteCharacters"/>
        </w:rPr>
        <w:footnoteRef/>
      </w:r>
      <w:r>
        <w:rPr>
          <w:sz w:val="18"/>
          <w:szCs w:val="18"/>
        </w:rPr>
        <w:tab/>
        <w:t xml:space="preserve"> </w:t>
      </w:r>
      <w:r>
        <w:rPr>
          <w:rFonts w:eastAsia="Calibri"/>
          <w:bCs/>
          <w:color w:val="1A1A1A"/>
          <w:sz w:val="18"/>
          <w:szCs w:val="18"/>
        </w:rPr>
        <w:t xml:space="preserve">Ernst &amp; Young, « Riding the Silk Road sees outbound investment boom », </w:t>
      </w:r>
      <w:r>
        <w:rPr>
          <w:rFonts w:eastAsia="Calibri"/>
          <w:bCs/>
          <w:i/>
          <w:color w:val="1A1A1A"/>
          <w:sz w:val="18"/>
          <w:szCs w:val="18"/>
        </w:rPr>
        <w:t>Outlook for China’s outward foreign direct investment</w:t>
      </w:r>
      <w:r>
        <w:rPr>
          <w:rFonts w:eastAsia="Calibri"/>
          <w:bCs/>
          <w:color w:val="1A1A1A"/>
          <w:sz w:val="18"/>
          <w:szCs w:val="18"/>
        </w:rPr>
        <w:t xml:space="preserve">, March 2015. </w:t>
      </w:r>
    </w:p>
  </w:footnote>
  <w:footnote w:id="8">
    <w:p w:rsidR="00D136A6" w:rsidRDefault="00D136A6" w:rsidP="00D136A6">
      <w:pPr>
        <w:pStyle w:val="Notedebasdepage1"/>
        <w:jc w:val="both"/>
      </w:pPr>
      <w:r>
        <w:rPr>
          <w:rStyle w:val="FootnoteCharacters"/>
        </w:rPr>
        <w:footnoteRef/>
      </w:r>
      <w:r>
        <w:rPr>
          <w:color w:val="000000"/>
          <w:sz w:val="18"/>
          <w:szCs w:val="18"/>
        </w:rPr>
        <w:tab/>
        <w:t xml:space="preserve"> Accord qui associe la Chine et les pays d’Europe centrale et du sud : les nouveaux pays membres de l’UE (Bulgarie, Croatie, Estonie, Hongrie, Lituanie, Lettonie, République tchèque, Slovaquie, Roumanie, Slovénie Pologne) et balkaniques (Albanie, Bosnie et Herzégovine, Bulgarie, Croatie, Macédoine, Montenegro).</w:t>
      </w:r>
    </w:p>
  </w:footnote>
  <w:footnote w:id="9">
    <w:p w:rsidR="00D136A6" w:rsidRDefault="00D136A6" w:rsidP="00D136A6">
      <w:pPr>
        <w:pStyle w:val="Notedebasdepage1"/>
        <w:jc w:val="both"/>
      </w:pPr>
      <w:r>
        <w:rPr>
          <w:rStyle w:val="FootnoteCharacters"/>
        </w:rPr>
        <w:footnoteRef/>
      </w:r>
      <w:r>
        <w:rPr>
          <w:sz w:val="18"/>
          <w:szCs w:val="18"/>
        </w:rPr>
        <w:tab/>
        <w:t xml:space="preserve"> </w:t>
      </w:r>
      <w:r>
        <w:rPr>
          <w:i/>
          <w:iCs/>
          <w:sz w:val="18"/>
          <w:szCs w:val="18"/>
        </w:rPr>
        <w:t xml:space="preserve">Cf. </w:t>
      </w:r>
      <w:r>
        <w:rPr>
          <w:sz w:val="18"/>
          <w:szCs w:val="18"/>
        </w:rPr>
        <w:t>l’entrée dans le capital d’Areva, de PSA, du Club Med et récemment le projet d’acquisition du groupe suisse Syngenta.</w:t>
      </w:r>
    </w:p>
  </w:footnote>
  <w:footnote w:id="10">
    <w:p w:rsidR="00D136A6" w:rsidRDefault="00D136A6" w:rsidP="00D136A6">
      <w:pPr>
        <w:jc w:val="both"/>
      </w:pPr>
      <w:r>
        <w:rPr>
          <w:rStyle w:val="FootnoteCharacters"/>
        </w:rPr>
        <w:footnoteRef/>
      </w:r>
      <w:r>
        <w:rPr>
          <w:rStyle w:val="Marquenotebasdepage1"/>
          <w:sz w:val="18"/>
          <w:szCs w:val="18"/>
        </w:rPr>
        <w:tab/>
      </w:r>
      <w:r>
        <w:rPr>
          <w:sz w:val="18"/>
          <w:szCs w:val="18"/>
        </w:rPr>
        <w:t xml:space="preserve"> Philippe Le CORRE, Alain SEPULCHRE, </w:t>
      </w:r>
      <w:r>
        <w:rPr>
          <w:i/>
          <w:sz w:val="18"/>
          <w:szCs w:val="18"/>
        </w:rPr>
        <w:t>L’offensive chinoise  Europe</w:t>
      </w:r>
      <w:r>
        <w:rPr>
          <w:sz w:val="18"/>
          <w:szCs w:val="18"/>
        </w:rPr>
        <w:t>, Fayard, Paris, 2015.</w:t>
      </w:r>
    </w:p>
  </w:footnote>
  <w:footnote w:id="11">
    <w:p w:rsidR="00D136A6" w:rsidRDefault="00D136A6" w:rsidP="00D136A6">
      <w:pPr>
        <w:pStyle w:val="Notedebasdepage1"/>
        <w:jc w:val="both"/>
      </w:pPr>
      <w:r>
        <w:rPr>
          <w:rStyle w:val="FootnoteCharacters"/>
        </w:rPr>
        <w:footnoteRef/>
      </w:r>
      <w:r>
        <w:rPr>
          <w:sz w:val="18"/>
          <w:szCs w:val="18"/>
        </w:rPr>
        <w:tab/>
        <w:t xml:space="preserve"> </w:t>
      </w:r>
      <w:r>
        <w:rPr>
          <w:i/>
          <w:iCs/>
          <w:sz w:val="18"/>
          <w:szCs w:val="18"/>
        </w:rPr>
        <w:t>Cf.</w:t>
      </w:r>
      <w:r>
        <w:rPr>
          <w:sz w:val="18"/>
          <w:szCs w:val="18"/>
        </w:rPr>
        <w:t xml:space="preserve"> la récente visite du président chinois Xi Jiping en Grande Bretagne et l’accueil « royal » qui lui a été réservé.</w:t>
      </w:r>
    </w:p>
  </w:footnote>
  <w:footnote w:id="12">
    <w:p w:rsidR="00D136A6" w:rsidRDefault="00D136A6" w:rsidP="00D136A6">
      <w:pPr>
        <w:spacing w:line="360" w:lineRule="auto"/>
        <w:jc w:val="both"/>
      </w:pPr>
      <w:r>
        <w:rPr>
          <w:rStyle w:val="FootnoteCharacters"/>
        </w:rPr>
        <w:footnoteRef/>
      </w:r>
      <w:r>
        <w:rPr>
          <w:sz w:val="18"/>
          <w:szCs w:val="18"/>
        </w:rPr>
        <w:tab/>
        <w:t xml:space="preserve"> Ian BOND, « China’s European charm offensive : Silk Road or Silk Rope ? », </w:t>
      </w:r>
      <w:r>
        <w:rPr>
          <w:i/>
          <w:sz w:val="18"/>
          <w:szCs w:val="18"/>
        </w:rPr>
        <w:t>Centre for European Reform</w:t>
      </w:r>
      <w:r>
        <w:rPr>
          <w:sz w:val="18"/>
          <w:szCs w:val="18"/>
        </w:rPr>
        <w:t xml:space="preserve"> (</w:t>
      </w:r>
      <w:hyperlink r:id="rId1" w:history="1">
        <w:r>
          <w:rPr>
            <w:rStyle w:val="Lienhypertexte"/>
            <w:sz w:val="18"/>
            <w:szCs w:val="18"/>
          </w:rPr>
          <w:t>www.cer.org.uk</w:t>
        </w:r>
      </w:hyperlink>
      <w:r>
        <w:rPr>
          <w:sz w:val="18"/>
          <w:szCs w:val="18"/>
        </w:rPr>
        <w:t>), 2015.</w:t>
      </w:r>
    </w:p>
  </w:footnote>
  <w:footnote w:id="13">
    <w:p w:rsidR="00D136A6" w:rsidRDefault="00D136A6" w:rsidP="00D136A6">
      <w:pPr>
        <w:jc w:val="both"/>
      </w:pPr>
      <w:r>
        <w:rPr>
          <w:rStyle w:val="FootnoteCharacters"/>
        </w:rPr>
        <w:footnoteRef/>
      </w:r>
      <w:r>
        <w:rPr>
          <w:sz w:val="18"/>
          <w:szCs w:val="18"/>
        </w:rPr>
        <w:tab/>
        <w:t xml:space="preserve"> C. </w:t>
      </w:r>
      <w:r>
        <w:rPr>
          <w:bCs/>
          <w:sz w:val="18"/>
          <w:szCs w:val="18"/>
        </w:rPr>
        <w:t xml:space="preserve">MERCIER-SUIZA, Simin LIN, « Les </w:t>
      </w:r>
      <w:r>
        <w:rPr>
          <w:bCs/>
          <w:i/>
          <w:sz w:val="18"/>
          <w:szCs w:val="18"/>
        </w:rPr>
        <w:t>Born Globals</w:t>
      </w:r>
      <w:r>
        <w:rPr>
          <w:bCs/>
          <w:sz w:val="18"/>
          <w:szCs w:val="18"/>
        </w:rPr>
        <w:t xml:space="preserve"> chinoises de la province du Zhejiang : un exemple réussi d’insertion dans les chaînes mondiales de valeur » in L’industrialisation au sud, </w:t>
      </w:r>
      <w:r>
        <w:rPr>
          <w:bCs/>
          <w:i/>
          <w:sz w:val="18"/>
          <w:szCs w:val="18"/>
        </w:rPr>
        <w:t>Autrepart</w:t>
      </w:r>
      <w:r>
        <w:rPr>
          <w:bCs/>
          <w:sz w:val="18"/>
          <w:szCs w:val="18"/>
        </w:rPr>
        <w:t>, n° 69, 2014.</w:t>
      </w:r>
    </w:p>
  </w:footnote>
  <w:footnote w:id="14">
    <w:p w:rsidR="00D136A6" w:rsidRDefault="00D136A6" w:rsidP="00D136A6">
      <w:r>
        <w:rPr>
          <w:rStyle w:val="FootnoteCharacters"/>
        </w:rPr>
        <w:footnoteRef/>
      </w:r>
      <w:r>
        <w:rPr>
          <w:sz w:val="18"/>
          <w:szCs w:val="18"/>
        </w:rPr>
        <w:tab/>
        <w:t>Juan Pablo CARDENA, Heriberto ARA</w:t>
      </w:r>
      <w:r>
        <w:rPr>
          <w:rFonts w:eastAsia="Calibri"/>
          <w:sz w:val="18"/>
          <w:szCs w:val="18"/>
        </w:rPr>
        <w:t>ÙJO,</w:t>
      </w:r>
      <w:r>
        <w:rPr>
          <w:sz w:val="18"/>
          <w:szCs w:val="18"/>
        </w:rPr>
        <w:t xml:space="preserve"> </w:t>
      </w:r>
      <w:r>
        <w:rPr>
          <w:i/>
          <w:iCs/>
          <w:sz w:val="18"/>
          <w:szCs w:val="18"/>
        </w:rPr>
        <w:t>Le siècle de la Chine. Comment Pékin refait le monde à son image</w:t>
      </w:r>
      <w:r>
        <w:rPr>
          <w:sz w:val="18"/>
          <w:szCs w:val="18"/>
        </w:rPr>
        <w:t>, Paris, Flammarion, 2013.</w:t>
      </w:r>
    </w:p>
  </w:footnote>
  <w:footnote w:id="15">
    <w:p w:rsidR="00D136A6" w:rsidRDefault="00D136A6" w:rsidP="00D136A6">
      <w:pPr>
        <w:pStyle w:val="Notedebasdepage1"/>
      </w:pPr>
      <w:r>
        <w:rPr>
          <w:rStyle w:val="FootnoteCharacters"/>
        </w:rPr>
        <w:footnoteRef/>
      </w:r>
      <w:r>
        <w:rPr>
          <w:sz w:val="18"/>
          <w:szCs w:val="18"/>
        </w:rPr>
        <w:tab/>
        <w:t xml:space="preserve"> Absence d’investissements pendant plusieurs décennies, impact de la désintégration économique de l’ancien espace yougoslave, destructions physiques et humaines (guerres inter-ethniques, bombardements de l’OTAN), émigration massive.</w:t>
      </w:r>
    </w:p>
  </w:footnote>
  <w:footnote w:id="16">
    <w:p w:rsidR="00D136A6" w:rsidRDefault="00D136A6" w:rsidP="00D136A6">
      <w:pPr>
        <w:pStyle w:val="Notedebasdepage1"/>
      </w:pPr>
      <w:r>
        <w:rPr>
          <w:rStyle w:val="FootnoteCharacters"/>
        </w:rPr>
        <w:footnoteRef/>
      </w:r>
      <w:r>
        <w:rPr>
          <w:rStyle w:val="Marquenotebasdepage1"/>
          <w:sz w:val="18"/>
          <w:szCs w:val="18"/>
        </w:rPr>
        <w:tab/>
      </w:r>
      <w:r>
        <w:rPr>
          <w:sz w:val="18"/>
          <w:szCs w:val="18"/>
        </w:rPr>
        <w:t xml:space="preserve"> Ce qui peut se révéler une stratégie risquée pour la Russie en raison de l’instabilité qui règne dans la région : </w:t>
      </w:r>
      <w:r>
        <w:rPr>
          <w:i/>
          <w:iCs/>
          <w:sz w:val="18"/>
          <w:szCs w:val="18"/>
        </w:rPr>
        <w:t>cf.</w:t>
      </w:r>
      <w:r>
        <w:rPr>
          <w:sz w:val="18"/>
          <w:szCs w:val="18"/>
        </w:rPr>
        <w:t xml:space="preserve"> les aléas du projet </w:t>
      </w:r>
      <w:r>
        <w:rPr>
          <w:i/>
          <w:sz w:val="18"/>
          <w:szCs w:val="18"/>
        </w:rPr>
        <w:t>South Stream</w:t>
      </w:r>
      <w:r>
        <w:rPr>
          <w:sz w:val="18"/>
          <w:szCs w:val="18"/>
        </w:rPr>
        <w:t xml:space="preserve"> russe avec les récents événements en Syrie.</w:t>
      </w:r>
    </w:p>
  </w:footnote>
  <w:footnote w:id="17">
    <w:p w:rsidR="00D136A6" w:rsidRDefault="00D136A6" w:rsidP="00D136A6">
      <w:pPr>
        <w:pStyle w:val="Notedebasdepage1"/>
      </w:pPr>
      <w:r>
        <w:rPr>
          <w:rStyle w:val="FootnoteCharacters"/>
        </w:rPr>
        <w:footnoteRef/>
      </w:r>
      <w:r>
        <w:rPr>
          <w:sz w:val="18"/>
          <w:szCs w:val="18"/>
        </w:rPr>
        <w:tab/>
        <w:t xml:space="preserve"> Contrôle plus stricts sur la sortie légale des capitaux d’un côté, fuite des capitaux de l’autre face à la détérioration de la situation macro économique et financières (endettement, baisse des valeurs à la bourse, dévaluation du RMB).</w:t>
      </w:r>
    </w:p>
  </w:footnote>
  <w:footnote w:id="18">
    <w:p w:rsidR="00D136A6" w:rsidRDefault="00D136A6" w:rsidP="00D136A6">
      <w:pPr>
        <w:jc w:val="both"/>
      </w:pPr>
      <w:r>
        <w:rPr>
          <w:rStyle w:val="FootnoteCharacters"/>
        </w:rPr>
        <w:footnoteRef/>
      </w:r>
      <w:r>
        <w:rPr>
          <w:sz w:val="18"/>
          <w:szCs w:val="18"/>
        </w:rPr>
        <w:tab/>
        <w:t xml:space="preserve"> Xavier RICHET, « Les firmes chinoises à l’assaut des marchés », in Jean-François HUCHET, Xavier RICHET, Joël RUET, (sous la direction de), </w:t>
      </w:r>
      <w:r>
        <w:rPr>
          <w:i/>
          <w:sz w:val="18"/>
          <w:szCs w:val="18"/>
        </w:rPr>
        <w:t>Chine, Inde : les firmes au cœur de l’émergence</w:t>
      </w:r>
      <w:r>
        <w:rPr>
          <w:sz w:val="18"/>
          <w:szCs w:val="18"/>
        </w:rPr>
        <w:t>, Rennes, Presses universitaires de Rennes ; 2015.</w:t>
      </w:r>
    </w:p>
    <w:p w:rsidR="00D136A6" w:rsidRDefault="00D136A6" w:rsidP="00D136A6">
      <w:pPr>
        <w:pStyle w:val="Notedebasdepage"/>
      </w:pPr>
    </w:p>
  </w:footnote>
  <w:footnote w:id="19">
    <w:p w:rsidR="00D136A6" w:rsidRDefault="00D136A6" w:rsidP="00D136A6">
      <w:pPr>
        <w:jc w:val="both"/>
      </w:pPr>
      <w:r>
        <w:rPr>
          <w:rStyle w:val="FootnoteCharacters"/>
        </w:rPr>
        <w:footnoteRef/>
      </w:r>
      <w:r>
        <w:rPr>
          <w:sz w:val="18"/>
          <w:szCs w:val="18"/>
        </w:rPr>
        <w:tab/>
        <w:t xml:space="preserve"> Giovanni </w:t>
      </w:r>
      <w:r>
        <w:rPr>
          <w:iCs/>
          <w:sz w:val="18"/>
          <w:szCs w:val="18"/>
          <w:lang w:val="en-US"/>
        </w:rPr>
        <w:t>BALCET, Hua-William WANG, Xavier RICHET, “</w:t>
      </w:r>
      <w:r>
        <w:rPr>
          <w:bCs/>
          <w:sz w:val="18"/>
          <w:szCs w:val="18"/>
          <w:lang w:val="en-US"/>
        </w:rPr>
        <w:t xml:space="preserve">Geely: a trajectory of catching up and asset-seeking multinational growth” , Paris, </w:t>
      </w:r>
      <w:r>
        <w:rPr>
          <w:i/>
          <w:iCs/>
          <w:sz w:val="18"/>
          <w:szCs w:val="18"/>
          <w:lang w:val="en-US"/>
        </w:rPr>
        <w:t>Int. J. Automotive Technology and Management,</w:t>
      </w:r>
      <w:r>
        <w:rPr>
          <w:sz w:val="18"/>
          <w:szCs w:val="18"/>
          <w:lang w:val="en-US"/>
        </w:rPr>
        <w:t xml:space="preserve"> Vol. 12, No. 4, </w:t>
      </w:r>
      <w:r>
        <w:rPr>
          <w:bCs/>
          <w:sz w:val="18"/>
          <w:szCs w:val="18"/>
          <w:lang w:val="en-US"/>
        </w:rPr>
        <w:t>2012.</w:t>
      </w:r>
    </w:p>
  </w:footnote>
  <w:footnote w:id="20">
    <w:p w:rsidR="00D136A6" w:rsidRDefault="00D136A6" w:rsidP="00D136A6">
      <w:pPr>
        <w:jc w:val="both"/>
      </w:pPr>
      <w:r>
        <w:rPr>
          <w:rStyle w:val="FootnoteCharacters"/>
        </w:rPr>
        <w:footnoteRef/>
      </w:r>
      <w:r>
        <w:rPr>
          <w:sz w:val="18"/>
          <w:szCs w:val="18"/>
        </w:rPr>
        <w:tab/>
        <w:t xml:space="preserve"> Jean-François HUCHET, “Du dirigisme au réalisme. La politique industrielle chinoise à l’heure de la globalisation”, in Jean-François HUCHET, Xavier RICHET, Joël RUET (sous la direction de), </w:t>
      </w:r>
      <w:r>
        <w:rPr>
          <w:i/>
          <w:iCs/>
          <w:sz w:val="18"/>
          <w:szCs w:val="18"/>
        </w:rPr>
        <w:t>op. cit</w:t>
      </w:r>
      <w:r>
        <w:rPr>
          <w:sz w:val="18"/>
          <w:szCs w:val="18"/>
        </w:rPr>
        <w:t xml:space="preserve">. </w:t>
      </w:r>
    </w:p>
  </w:footnote>
  <w:footnote w:id="21">
    <w:p w:rsidR="00D136A6" w:rsidRDefault="00D136A6" w:rsidP="00D136A6">
      <w:pPr>
        <w:pStyle w:val="Notedebasdepage1"/>
      </w:pPr>
      <w:r>
        <w:rPr>
          <w:rStyle w:val="FootnoteCharacters"/>
        </w:rPr>
        <w:footnoteRef/>
      </w:r>
      <w:r>
        <w:rPr>
          <w:rStyle w:val="Marquenotebasdepage1"/>
          <w:sz w:val="18"/>
          <w:szCs w:val="18"/>
        </w:rPr>
        <w:tab/>
      </w:r>
      <w:r>
        <w:rPr>
          <w:sz w:val="18"/>
          <w:szCs w:val="18"/>
        </w:rPr>
        <w:t xml:space="preserve"> </w:t>
      </w:r>
      <w:hyperlink r:id="rId2" w:history="1">
        <w:r>
          <w:rPr>
            <w:rStyle w:val="Lienhypertexte"/>
            <w:color w:val="000000"/>
            <w:sz w:val="18"/>
            <w:szCs w:val="18"/>
          </w:rPr>
          <w:t>www.</w:t>
        </w:r>
        <w:r>
          <w:rPr>
            <w:rStyle w:val="Lienhypertexte"/>
            <w:b/>
            <w:bCs/>
            <w:color w:val="000000"/>
            <w:sz w:val="18"/>
            <w:szCs w:val="18"/>
          </w:rPr>
          <w:t>heritage</w:t>
        </w:r>
        <w:r>
          <w:rPr>
            <w:rStyle w:val="Lienhypertexte"/>
            <w:color w:val="000000"/>
            <w:sz w:val="18"/>
            <w:szCs w:val="18"/>
          </w:rPr>
          <w:t>.org/</w:t>
        </w:r>
        <w:r>
          <w:rPr>
            <w:rStyle w:val="Lienhypertexte"/>
            <w:b/>
            <w:bCs/>
            <w:color w:val="000000"/>
            <w:sz w:val="18"/>
            <w:szCs w:val="18"/>
          </w:rPr>
          <w:t>china</w:t>
        </w:r>
        <w:r>
          <w:rPr>
            <w:rStyle w:val="Lienhypertexte"/>
            <w:color w:val="000000"/>
            <w:sz w:val="18"/>
            <w:szCs w:val="18"/>
          </w:rPr>
          <w:t>-global-investment-tracker</w:t>
        </w:r>
      </w:hyperlink>
      <w:r>
        <w:rPr>
          <w:color w:val="000000"/>
        </w:rPr>
        <w:t xml:space="preserve"> </w:t>
      </w:r>
    </w:p>
  </w:footnote>
  <w:footnote w:id="22">
    <w:p w:rsidR="00D136A6" w:rsidRDefault="00D136A6" w:rsidP="00D136A6">
      <w:pPr>
        <w:spacing w:after="240"/>
      </w:pPr>
      <w:r>
        <w:rPr>
          <w:rStyle w:val="FootnoteCharacters"/>
        </w:rPr>
        <w:footnoteRef/>
      </w:r>
      <w:r>
        <w:rPr>
          <w:rStyle w:val="Marquenotebasdepage1"/>
          <w:sz w:val="18"/>
          <w:szCs w:val="18"/>
        </w:rPr>
        <w:tab/>
      </w:r>
      <w:r>
        <w:rPr>
          <w:sz w:val="18"/>
          <w:szCs w:val="18"/>
        </w:rPr>
        <w:t xml:space="preserve"> Cristina CHAMINADE (Ed.),</w:t>
      </w:r>
      <w:r>
        <w:rPr>
          <w:sz w:val="18"/>
          <w:szCs w:val="18"/>
          <w:lang w:val="en-US"/>
        </w:rPr>
        <w:t xml:space="preserve"> </w:t>
      </w:r>
      <w:r>
        <w:rPr>
          <w:i/>
          <w:sz w:val="18"/>
          <w:szCs w:val="18"/>
          <w:lang w:val="en-US"/>
        </w:rPr>
        <w:t>Driven FDI by Emerging Multinationals in Europe</w:t>
      </w:r>
      <w:r>
        <w:rPr>
          <w:sz w:val="18"/>
          <w:szCs w:val="18"/>
          <w:lang w:val="en-US"/>
        </w:rPr>
        <w:t>. Project Report, CIRCLE, Lund University, 2015.</w:t>
      </w:r>
    </w:p>
  </w:footnote>
  <w:footnote w:id="23">
    <w:p w:rsidR="00A3648B" w:rsidRDefault="00A3648B" w:rsidP="00A3648B">
      <w:pPr>
        <w:jc w:val="both"/>
      </w:pPr>
      <w:r>
        <w:rPr>
          <w:rStyle w:val="FootnoteCharacters"/>
        </w:rPr>
        <w:footnoteRef/>
      </w:r>
      <w:r>
        <w:rPr>
          <w:sz w:val="18"/>
          <w:szCs w:val="18"/>
        </w:rPr>
        <w:tab/>
        <w:t xml:space="preserve"> </w:t>
      </w:r>
      <w:r>
        <w:rPr>
          <w:sz w:val="18"/>
          <w:szCs w:val="18"/>
          <w:lang w:val="en-US"/>
        </w:rPr>
        <w:t xml:space="preserve">EU SME Centre, </w:t>
      </w:r>
      <w:r>
        <w:rPr>
          <w:i/>
          <w:sz w:val="18"/>
          <w:szCs w:val="18"/>
          <w:lang w:val="en-US"/>
        </w:rPr>
        <w:t>Chinese Outward Foreign Direct Investment in the EU. Opportunities and Challenges for European SMEs to Link into the Global Value Chain of Chinese Multinational Enterprises</w:t>
      </w:r>
      <w:r>
        <w:rPr>
          <w:sz w:val="18"/>
          <w:szCs w:val="18"/>
          <w:lang w:val="en-US"/>
        </w:rPr>
        <w:t>, Pékin, 2015.</w:t>
      </w:r>
    </w:p>
  </w:footnote>
  <w:footnote w:id="24">
    <w:p w:rsidR="00D136A6" w:rsidRDefault="00D136A6" w:rsidP="00D136A6">
      <w:pPr>
        <w:jc w:val="both"/>
      </w:pPr>
      <w:r>
        <w:rPr>
          <w:rStyle w:val="FootnoteCharacters"/>
        </w:rPr>
        <w:footnoteRef/>
      </w:r>
      <w:r>
        <w:rPr>
          <w:sz w:val="18"/>
          <w:szCs w:val="18"/>
        </w:rPr>
        <w:tab/>
        <w:t xml:space="preserve"> Zhao WEI, “Système nationaux d’innovation dans le spays émergents: le cas de la Chine” in Jean-François HUCHET, Xavier RICHET, Joël RUET (sous la direction de), </w:t>
      </w:r>
      <w:r>
        <w:rPr>
          <w:i/>
          <w:iCs/>
          <w:sz w:val="18"/>
          <w:szCs w:val="18"/>
        </w:rPr>
        <w:t>op. cit</w:t>
      </w:r>
      <w:r>
        <w:rPr>
          <w:sz w:val="18"/>
          <w:szCs w:val="18"/>
        </w:rPr>
        <w:t xml:space="preserve">. Voir aussi Jean-François HUCHET, </w:t>
      </w:r>
      <w:r>
        <w:rPr>
          <w:i/>
          <w:iCs/>
          <w:sz w:val="18"/>
          <w:szCs w:val="18"/>
        </w:rPr>
        <w:t>art. cit.</w:t>
      </w:r>
    </w:p>
  </w:footnote>
  <w:footnote w:id="25">
    <w:p w:rsidR="00D136A6" w:rsidRDefault="00D136A6" w:rsidP="00D136A6">
      <w:pPr>
        <w:spacing w:after="240"/>
      </w:pPr>
      <w:r>
        <w:rPr>
          <w:rStyle w:val="FootnoteCharacters"/>
        </w:rPr>
        <w:footnoteRef/>
      </w:r>
      <w:r>
        <w:rPr>
          <w:sz w:val="18"/>
          <w:szCs w:val="18"/>
        </w:rPr>
        <w:tab/>
        <w:t xml:space="preserve"> Usha HALEY</w:t>
      </w:r>
      <w:r>
        <w:rPr>
          <w:sz w:val="18"/>
          <w:szCs w:val="18"/>
          <w:lang w:val="en-US"/>
        </w:rPr>
        <w:t xml:space="preserve">, George HALEY, </w:t>
      </w:r>
      <w:r>
        <w:rPr>
          <w:i/>
          <w:sz w:val="18"/>
          <w:szCs w:val="18"/>
          <w:lang w:val="en-US"/>
        </w:rPr>
        <w:t>Subsidies to Chinese Industry. State Capitalism, Business Strategy, and Trade Policy</w:t>
      </w:r>
      <w:r>
        <w:rPr>
          <w:sz w:val="18"/>
          <w:szCs w:val="18"/>
          <w:lang w:val="en-US"/>
        </w:rPr>
        <w:t>, Oxford,  Oxford University Press, 2013.</w:t>
      </w:r>
    </w:p>
  </w:footnote>
  <w:footnote w:id="26">
    <w:p w:rsidR="00D136A6" w:rsidRDefault="00D136A6" w:rsidP="00D136A6">
      <w:pPr>
        <w:pStyle w:val="Notedebasdepage1"/>
        <w:jc w:val="both"/>
      </w:pPr>
      <w:r>
        <w:rPr>
          <w:rStyle w:val="FootnoteCharacters"/>
        </w:rPr>
        <w:footnoteRef/>
      </w:r>
      <w:r>
        <w:rPr>
          <w:sz w:val="18"/>
          <w:szCs w:val="18"/>
        </w:rPr>
        <w:tab/>
        <w:t xml:space="preserve"> OEM (Original Equipment Manufacturing), par opposition à ODM (Original Design Manufacturing) ou OBM (Original Brand Manufacturing) qui développent leurs propres produits.</w:t>
      </w:r>
    </w:p>
  </w:footnote>
  <w:footnote w:id="27">
    <w:p w:rsidR="00D136A6" w:rsidRDefault="00D136A6" w:rsidP="00D136A6">
      <w:pPr>
        <w:jc w:val="both"/>
      </w:pPr>
      <w:r>
        <w:rPr>
          <w:rStyle w:val="FootnoteCharacters"/>
        </w:rPr>
        <w:footnoteRef/>
      </w:r>
      <w:r>
        <w:rPr>
          <w:sz w:val="18"/>
          <w:szCs w:val="18"/>
        </w:rPr>
        <w:tab/>
        <w:t xml:space="preserve"> Xavier RICHET,  « Les firmes chinoises à l’assaut des marchés », in Jean-François HUCHET, Xavier RICHET, Joël RUET, (sous la direction de), </w:t>
      </w:r>
      <w:r>
        <w:rPr>
          <w:i/>
          <w:iCs/>
          <w:sz w:val="18"/>
          <w:szCs w:val="18"/>
        </w:rPr>
        <w:t>op. cit</w:t>
      </w:r>
      <w:r>
        <w:rPr>
          <w:sz w:val="18"/>
          <w:szCs w:val="18"/>
        </w:rPr>
        <w:t>.</w:t>
      </w:r>
    </w:p>
  </w:footnote>
  <w:footnote w:id="28">
    <w:p w:rsidR="00D136A6" w:rsidRDefault="00D136A6" w:rsidP="00D136A6">
      <w:pPr>
        <w:pStyle w:val="Notedebasdepage"/>
        <w:jc w:val="both"/>
      </w:pPr>
      <w:r>
        <w:rPr>
          <w:rStyle w:val="FootnoteCharacters"/>
        </w:rPr>
        <w:footnoteRef/>
      </w:r>
      <w:r>
        <w:rPr>
          <w:sz w:val="18"/>
          <w:szCs w:val="18"/>
        </w:rPr>
        <w:tab/>
        <w:t xml:space="preserve"> </w:t>
      </w:r>
      <w:r>
        <w:rPr>
          <w:sz w:val="18"/>
          <w:szCs w:val="18"/>
          <w:lang w:val="en-US"/>
        </w:rPr>
        <w:t>Peter NOLAN,</w:t>
      </w:r>
      <w:r>
        <w:rPr>
          <w:i/>
          <w:sz w:val="18"/>
          <w:szCs w:val="18"/>
          <w:lang w:val="en-US"/>
        </w:rPr>
        <w:t xml:space="preserve"> Is China Buying the World?</w:t>
      </w:r>
      <w:r>
        <w:rPr>
          <w:sz w:val="18"/>
          <w:szCs w:val="18"/>
          <w:lang w:val="en-US"/>
        </w:rPr>
        <w:t xml:space="preserve"> </w:t>
      </w:r>
      <w:r>
        <w:rPr>
          <w:sz w:val="18"/>
          <w:szCs w:val="18"/>
        </w:rPr>
        <w:t>Polity Press, Cambridge, 2012.</w:t>
      </w:r>
    </w:p>
  </w:footnote>
  <w:footnote w:id="29">
    <w:p w:rsidR="00D136A6" w:rsidRDefault="00D136A6" w:rsidP="00D136A6">
      <w:pPr>
        <w:jc w:val="both"/>
      </w:pPr>
      <w:r>
        <w:rPr>
          <w:rStyle w:val="FootnoteCharacters"/>
        </w:rPr>
        <w:footnoteRef/>
      </w:r>
      <w:r>
        <w:rPr>
          <w:sz w:val="18"/>
          <w:szCs w:val="18"/>
        </w:rPr>
        <w:tab/>
        <w:t xml:space="preserve">  Philippe Le CORRE, Alain SEPULCHRE, </w:t>
      </w:r>
      <w:r>
        <w:rPr>
          <w:i/>
          <w:iCs/>
          <w:sz w:val="18"/>
          <w:szCs w:val="18"/>
        </w:rPr>
        <w:t>op. cit</w:t>
      </w:r>
      <w:r>
        <w:rPr>
          <w:sz w:val="18"/>
          <w:szCs w:val="18"/>
        </w:rPr>
        <w:t>.</w:t>
      </w:r>
    </w:p>
  </w:footnote>
  <w:footnote w:id="30">
    <w:p w:rsidR="00D136A6" w:rsidRDefault="00D136A6" w:rsidP="00D136A6">
      <w:pPr>
        <w:jc w:val="both"/>
      </w:pPr>
      <w:r>
        <w:rPr>
          <w:rStyle w:val="FootnoteCharacters"/>
        </w:rPr>
        <w:footnoteRef/>
      </w:r>
      <w:r>
        <w:rPr>
          <w:sz w:val="18"/>
          <w:szCs w:val="18"/>
        </w:rPr>
        <w:tab/>
        <w:t xml:space="preserve"> Jean-Paul GUICHARD, </w:t>
      </w:r>
      <w:r>
        <w:rPr>
          <w:i/>
          <w:sz w:val="18"/>
          <w:szCs w:val="18"/>
        </w:rPr>
        <w:t xml:space="preserve">L’Etat-Parti chinois et les multinationales. </w:t>
      </w:r>
      <w:r>
        <w:rPr>
          <w:i/>
          <w:sz w:val="18"/>
          <w:szCs w:val="18"/>
          <w:lang w:val="en-US"/>
        </w:rPr>
        <w:t>L’inquiétante alliance</w:t>
      </w:r>
      <w:r>
        <w:rPr>
          <w:sz w:val="18"/>
          <w:szCs w:val="18"/>
          <w:lang w:val="en-US"/>
        </w:rPr>
        <w:t>, L’Harmattan, Paris, 2014.</w:t>
      </w:r>
    </w:p>
  </w:footnote>
  <w:footnote w:id="31">
    <w:p w:rsidR="00D136A6" w:rsidRDefault="00D136A6" w:rsidP="00D136A6">
      <w:pPr>
        <w:jc w:val="both"/>
      </w:pPr>
      <w:r>
        <w:rPr>
          <w:rStyle w:val="FootnoteCharacters"/>
        </w:rPr>
        <w:footnoteRef/>
      </w:r>
      <w:r>
        <w:rPr>
          <w:rStyle w:val="Marquenotebasdepage1"/>
          <w:sz w:val="18"/>
          <w:szCs w:val="18"/>
        </w:rPr>
        <w:tab/>
      </w:r>
      <w:r>
        <w:rPr>
          <w:sz w:val="18"/>
          <w:szCs w:val="18"/>
        </w:rPr>
        <w:t xml:space="preserve"> L’acquéreur chinois du Club Méditerranée, 15</w:t>
      </w:r>
      <w:r>
        <w:rPr>
          <w:sz w:val="18"/>
          <w:szCs w:val="18"/>
          <w:vertAlign w:val="superscript"/>
        </w:rPr>
        <w:t>ème</w:t>
      </w:r>
      <w:r>
        <w:rPr>
          <w:sz w:val="18"/>
          <w:szCs w:val="18"/>
        </w:rPr>
        <w:t xml:space="preserve"> fortune chinoise a disparu pendant plusieurs jours, sans donner d’explications concernant son absence. Sur la cohabitation avec et la tolérance des milliardaires dans le système chinois, cf. T. MITCHELL,  P. WALDMEIR,</w:t>
      </w:r>
      <w:r>
        <w:rPr>
          <w:bCs/>
          <w:color w:val="12204F"/>
          <w:sz w:val="18"/>
          <w:szCs w:val="18"/>
          <w:lang w:val="en-US"/>
        </w:rPr>
        <w:t xml:space="preserve"> « The party versus the elite », </w:t>
      </w:r>
      <w:r>
        <w:rPr>
          <w:bCs/>
          <w:i/>
          <w:color w:val="12204F"/>
          <w:sz w:val="18"/>
          <w:szCs w:val="18"/>
          <w:lang w:val="en-US"/>
        </w:rPr>
        <w:t>Financial Times</w:t>
      </w:r>
      <w:r>
        <w:rPr>
          <w:bCs/>
          <w:color w:val="12204F"/>
          <w:sz w:val="18"/>
          <w:szCs w:val="18"/>
          <w:lang w:val="en-US"/>
        </w:rPr>
        <w:t>, 20 décembre 2015.</w:t>
      </w:r>
    </w:p>
  </w:footnote>
  <w:footnote w:id="32">
    <w:p w:rsidR="00A3648B" w:rsidRDefault="00A3648B" w:rsidP="00A3648B">
      <w:r>
        <w:rPr>
          <w:rStyle w:val="FootnoteCharacters"/>
        </w:rPr>
        <w:footnoteRef/>
      </w:r>
      <w:r>
        <w:tab/>
        <w:t xml:space="preserve"> </w:t>
      </w:r>
      <w:r>
        <w:rPr>
          <w:bCs/>
          <w:color w:val="1A1A1A"/>
          <w:lang w:val="en-US"/>
        </w:rPr>
        <w:t xml:space="preserve">Ernst &amp; Young, „Riding the Silk Road sees outbound investment boom”, </w:t>
      </w:r>
      <w:r>
        <w:rPr>
          <w:bCs/>
          <w:i/>
          <w:color w:val="1A1A1A"/>
          <w:lang w:val="en-US"/>
        </w:rPr>
        <w:t>Outlook for China’s outward foreign direct investment</w:t>
      </w:r>
      <w:r>
        <w:rPr>
          <w:bCs/>
          <w:color w:val="1A1A1A"/>
          <w:lang w:val="en-US"/>
        </w:rPr>
        <w:t>, March 2015.</w:t>
      </w:r>
    </w:p>
  </w:footnote>
  <w:footnote w:id="33">
    <w:p w:rsidR="00D136A6" w:rsidRDefault="00D136A6" w:rsidP="00D136A6">
      <w:pPr>
        <w:jc w:val="both"/>
      </w:pPr>
      <w:r>
        <w:rPr>
          <w:rStyle w:val="FootnoteCharacters"/>
        </w:rPr>
        <w:footnoteRef/>
      </w:r>
      <w:r>
        <w:rPr>
          <w:sz w:val="18"/>
          <w:szCs w:val="18"/>
        </w:rPr>
        <w:tab/>
        <w:t xml:space="preserve"> </w:t>
      </w:r>
      <w:r>
        <w:rPr>
          <w:sz w:val="18"/>
          <w:szCs w:val="18"/>
          <w:lang w:val="en-US"/>
        </w:rPr>
        <w:t>Peter NOLAN,</w:t>
      </w:r>
      <w:r>
        <w:rPr>
          <w:i/>
          <w:sz w:val="18"/>
          <w:szCs w:val="18"/>
          <w:lang w:val="en-US"/>
        </w:rPr>
        <w:t xml:space="preserve"> Is China Buying the World?</w:t>
      </w:r>
      <w:r>
        <w:rPr>
          <w:sz w:val="18"/>
          <w:szCs w:val="18"/>
          <w:lang w:val="en-US"/>
        </w:rPr>
        <w:t xml:space="preserve"> </w:t>
      </w:r>
      <w:r>
        <w:rPr>
          <w:sz w:val="18"/>
          <w:szCs w:val="18"/>
        </w:rPr>
        <w:t>Polity Press, Cambridge, 2012.</w:t>
      </w:r>
    </w:p>
  </w:footnote>
  <w:footnote w:id="34">
    <w:p w:rsidR="00D136A6" w:rsidRDefault="00D136A6" w:rsidP="00D136A6">
      <w:pPr>
        <w:pStyle w:val="Notedebasdepage1"/>
      </w:pPr>
      <w:r>
        <w:rPr>
          <w:rStyle w:val="FootnoteCharacters"/>
        </w:rPr>
        <w:footnoteRef/>
      </w:r>
      <w:r>
        <w:rPr>
          <w:sz w:val="18"/>
          <w:szCs w:val="18"/>
        </w:rPr>
        <w:tab/>
        <w:t xml:space="preserve"> Jess JIA</w:t>
      </w:r>
      <w:r>
        <w:rPr>
          <w:sz w:val="18"/>
          <w:szCs w:val="18"/>
          <w:lang w:val="en-US"/>
        </w:rPr>
        <w:t xml:space="preserve">, „Chinese ODI in Europe: Trends and Implications for the EU”, EU-Asia Center, </w:t>
      </w:r>
      <w:hyperlink r:id="rId3" w:history="1">
        <w:r>
          <w:rPr>
            <w:rStyle w:val="Lienhypertexte"/>
            <w:sz w:val="18"/>
            <w:szCs w:val="18"/>
            <w:lang w:val="en-US"/>
          </w:rPr>
          <w:t>www.eu-asiacentre.eu/pub_details.php?pub_id=174</w:t>
        </w:r>
      </w:hyperlink>
      <w:r>
        <w:rPr>
          <w:sz w:val="18"/>
          <w:szCs w:val="18"/>
          <w:lang w:val="en-US"/>
        </w:rPr>
        <w:t>, 15 May 2015.</w:t>
      </w:r>
    </w:p>
  </w:footnote>
  <w:footnote w:id="35">
    <w:p w:rsidR="00D136A6" w:rsidRDefault="00D136A6" w:rsidP="00D136A6">
      <w:pPr>
        <w:spacing w:line="360" w:lineRule="auto"/>
        <w:jc w:val="both"/>
      </w:pPr>
      <w:r>
        <w:rPr>
          <w:rStyle w:val="FootnoteCharacters"/>
        </w:rPr>
        <w:footnoteRef/>
      </w:r>
      <w:r>
        <w:tab/>
        <w:t xml:space="preserve"> Philippe Le CORRE, Alain SEPULCHRE, </w:t>
      </w:r>
      <w:r>
        <w:rPr>
          <w:i/>
          <w:iCs/>
        </w:rPr>
        <w:t>op. cit.</w:t>
      </w:r>
    </w:p>
  </w:footnote>
  <w:footnote w:id="36">
    <w:p w:rsidR="00D136A6" w:rsidRDefault="00D136A6" w:rsidP="00D136A6">
      <w:pPr>
        <w:jc w:val="both"/>
      </w:pPr>
      <w:r>
        <w:rPr>
          <w:rStyle w:val="FootnoteCharacters"/>
        </w:rPr>
        <w:footnoteRef/>
      </w:r>
      <w:r>
        <w:tab/>
        <w:t xml:space="preserve"> </w:t>
      </w:r>
      <w:r>
        <w:rPr>
          <w:bCs/>
          <w:color w:val="1A1A1A"/>
          <w:lang w:val="en-US"/>
        </w:rPr>
        <w:t xml:space="preserve">Antwerpen Management School, </w:t>
      </w:r>
      <w:r>
        <w:rPr>
          <w:bCs/>
          <w:i/>
          <w:color w:val="1A1A1A"/>
          <w:lang w:val="en-US"/>
        </w:rPr>
        <w:t>Euro-China Investment Report, 2013/2014.</w:t>
      </w:r>
    </w:p>
  </w:footnote>
  <w:footnote w:id="37">
    <w:p w:rsidR="00D136A6" w:rsidRDefault="00D136A6" w:rsidP="00D136A6">
      <w:pPr>
        <w:pStyle w:val="Notedebasdepage1"/>
      </w:pPr>
      <w:r>
        <w:rPr>
          <w:rStyle w:val="FootnoteCharacters"/>
        </w:rPr>
        <w:footnoteRef/>
      </w:r>
      <w:r>
        <w:rPr>
          <w:position w:val="15"/>
          <w:sz w:val="18"/>
          <w:szCs w:val="18"/>
        </w:rPr>
        <w:tab/>
        <w:t xml:space="preserve"> </w:t>
      </w:r>
      <w:r>
        <w:t xml:space="preserve">Initialement offert au prix de 3.6 milliards de $, l’achat de la firme Volvo a été vendue 1,8  milliards de $. </w:t>
      </w:r>
      <w:r>
        <w:rPr>
          <w:i/>
          <w:iCs/>
        </w:rPr>
        <w:t>Cf</w:t>
      </w:r>
      <w:r>
        <w:t xml:space="preserve">. BALCET, WANG, RICHET, </w:t>
      </w:r>
      <w:r>
        <w:rPr>
          <w:i/>
          <w:iCs/>
        </w:rPr>
        <w:t>art. cit</w:t>
      </w:r>
      <w:r>
        <w:t>.</w:t>
      </w:r>
    </w:p>
  </w:footnote>
  <w:footnote w:id="38">
    <w:p w:rsidR="00D136A6" w:rsidRDefault="00D136A6" w:rsidP="00D136A6">
      <w:pPr>
        <w:jc w:val="both"/>
      </w:pPr>
      <w:r>
        <w:rPr>
          <w:rStyle w:val="FootnoteCharacters"/>
        </w:rPr>
        <w:footnoteRef/>
      </w:r>
      <w:r>
        <w:tab/>
        <w:t xml:space="preserve">  </w:t>
      </w:r>
      <w:r>
        <w:rPr>
          <w:sz w:val="18"/>
          <w:szCs w:val="18"/>
        </w:rPr>
        <w:t xml:space="preserve">Giovanni </w:t>
      </w:r>
      <w:r>
        <w:rPr>
          <w:iCs/>
          <w:sz w:val="18"/>
          <w:szCs w:val="18"/>
          <w:lang w:val="en-US"/>
        </w:rPr>
        <w:t xml:space="preserve">BALCET, Hua-William WANG, Xavier RICHET, </w:t>
      </w:r>
      <w:r>
        <w:rPr>
          <w:i/>
          <w:iCs/>
          <w:sz w:val="18"/>
          <w:szCs w:val="18"/>
          <w:lang w:val="en-US"/>
        </w:rPr>
        <w:t>art. cit.</w:t>
      </w:r>
    </w:p>
  </w:footnote>
  <w:footnote w:id="39">
    <w:p w:rsidR="00A3648B" w:rsidRDefault="00A3648B" w:rsidP="00A3648B">
      <w:r>
        <w:rPr>
          <w:rStyle w:val="FootnoteCharacters"/>
        </w:rPr>
        <w:footnoteRef/>
      </w:r>
      <w:r>
        <w:rPr>
          <w:sz w:val="18"/>
          <w:szCs w:val="18"/>
        </w:rPr>
        <w:tab/>
        <w:t xml:space="preserve"> Wade </w:t>
      </w:r>
      <w:r>
        <w:rPr>
          <w:bCs/>
          <w:color w:val="1A1A1A"/>
          <w:sz w:val="18"/>
          <w:szCs w:val="18"/>
        </w:rPr>
        <w:t>JACOBY, « </w:t>
      </w:r>
      <w:r>
        <w:rPr>
          <w:bCs/>
          <w:color w:val="1A1A1A"/>
          <w:sz w:val="18"/>
          <w:szCs w:val="18"/>
          <w:lang w:val="en-US"/>
        </w:rPr>
        <w:t xml:space="preserve">Chinese Investments in the </w:t>
      </w:r>
      <w:r>
        <w:rPr>
          <w:bCs/>
          <w:color w:val="1A1A1A"/>
          <w:sz w:val="18"/>
          <w:szCs w:val="18"/>
        </w:rPr>
        <w:t xml:space="preserve">Balkans », </w:t>
      </w:r>
      <w:r>
        <w:rPr>
          <w:bCs/>
          <w:i/>
          <w:iCs/>
          <w:color w:val="1A1A1A"/>
          <w:sz w:val="18"/>
          <w:szCs w:val="18"/>
        </w:rPr>
        <w:t>Cr</w:t>
      </w:r>
      <w:r>
        <w:rPr>
          <w:bCs/>
          <w:i/>
          <w:iCs/>
          <w:color w:val="1A1A1A"/>
          <w:sz w:val="18"/>
          <w:szCs w:val="18"/>
          <w:lang w:val="en-US"/>
        </w:rPr>
        <w:t>itCom</w:t>
      </w:r>
      <w:r>
        <w:rPr>
          <w:bCs/>
          <w:color w:val="1A1A1A"/>
          <w:sz w:val="18"/>
          <w:szCs w:val="18"/>
          <w:lang w:val="en-US"/>
        </w:rPr>
        <w:t xml:space="preserve">, Council for European Studies, </w:t>
      </w:r>
      <w:hyperlink r:id="rId4" w:history="1">
        <w:r>
          <w:rPr>
            <w:rStyle w:val="Lienhypertexte"/>
            <w:bCs/>
            <w:color w:val="1A1A1A"/>
            <w:sz w:val="18"/>
            <w:szCs w:val="18"/>
            <w:lang w:val="en-US"/>
          </w:rPr>
          <w:t>http://councilforeuropeanstudies.org/critcom/chinese-investment-in-the-balkans/</w:t>
        </w:r>
      </w:hyperlink>
      <w:r>
        <w:rPr>
          <w:color w:val="0B5519"/>
          <w:sz w:val="18"/>
          <w:szCs w:val="18"/>
        </w:rPr>
        <w:t>,  1</w:t>
      </w:r>
      <w:r>
        <w:rPr>
          <w:bCs/>
          <w:color w:val="1A1A1A"/>
          <w:sz w:val="18"/>
          <w:szCs w:val="18"/>
          <w:lang w:val="en-US"/>
        </w:rPr>
        <w:t>4 décembre 2015.</w:t>
      </w:r>
    </w:p>
  </w:footnote>
  <w:footnote w:id="40">
    <w:p w:rsidR="00D136A6" w:rsidRDefault="00D136A6" w:rsidP="00D136A6">
      <w:pPr>
        <w:pStyle w:val="Notedebasdepage1"/>
      </w:pPr>
      <w:r>
        <w:rPr>
          <w:rStyle w:val="FootnoteCharacters"/>
        </w:rPr>
        <w:footnoteRef/>
      </w:r>
      <w:r>
        <w:rPr>
          <w:sz w:val="18"/>
          <w:szCs w:val="18"/>
        </w:rPr>
        <w:tab/>
        <w:t xml:space="preserve"> Selon le directeur de l’Albanian Center for Strategic Studies de Tirana (interview, février 2016).</w:t>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03"/>
    <w:multiLevelType w:val="multilevel"/>
    <w:tmpl w:val="00000003"/>
    <w:name w:val="WW8Num2"/>
    <w:lvl w:ilvl="0">
      <w:start w:val="1"/>
      <w:numFmt w:val="upperRoman"/>
      <w:lvlText w:val="%1."/>
      <w:lvlJc w:val="left"/>
      <w:pPr>
        <w:tabs>
          <w:tab w:val="num" w:pos="720"/>
        </w:tabs>
        <w:ind w:left="720" w:hanging="360"/>
      </w:pPr>
      <w:rPr>
        <w:sz w:val="24"/>
        <w:szCs w:val="24"/>
        <w:lang w:val="en-US"/>
      </w:rPr>
    </w:lvl>
    <w:lvl w:ilvl="1">
      <w:start w:val="1"/>
      <w:numFmt w:val="decimal"/>
      <w:lvlText w:val="%2."/>
      <w:lvlJc w:val="left"/>
      <w:pPr>
        <w:tabs>
          <w:tab w:val="num" w:pos="1080"/>
        </w:tabs>
        <w:ind w:left="1080" w:hanging="360"/>
      </w:pPr>
      <w:rPr>
        <w:b w:val="0"/>
        <w:bCs w:val="0"/>
        <w:i w:val="0"/>
        <w:iCs w:val="0"/>
        <w:sz w:val="24"/>
        <w:szCs w:val="24"/>
        <w:shd w:val="clear" w:color="auto" w:fill="FFFF0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08"/>
  <w:hyphenationZone w:val="425"/>
  <w:characterSpacingControl w:val="doNotCompress"/>
  <w:savePreviewPicture/>
  <w:footnotePr>
    <w:footnote w:id="0"/>
    <w:footnote w:id="1"/>
  </w:footnotePr>
  <w:endnotePr>
    <w:endnote w:id="0"/>
    <w:endnote w:id="1"/>
  </w:endnotePr>
  <w:compat/>
  <w:rsids>
    <w:rsidRoot w:val="00D136A6"/>
    <w:rsid w:val="002B3473"/>
    <w:rsid w:val="004644CA"/>
    <w:rsid w:val="005004A8"/>
    <w:rsid w:val="005833D7"/>
    <w:rsid w:val="00684A95"/>
    <w:rsid w:val="00A06349"/>
    <w:rsid w:val="00A3648B"/>
    <w:rsid w:val="00D136A6"/>
    <w:rsid w:val="00EA5C31"/>
    <w:rsid w:val="00F447F8"/>
  </w:rsids>
  <m:mathPr>
    <m:mathFont m:val="Impact"/>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6A6"/>
    <w:pPr>
      <w:widowControl w:val="0"/>
      <w:suppressAutoHyphens/>
    </w:pPr>
    <w:rPr>
      <w:rFonts w:ascii="Times New Roman" w:eastAsia="Times New Roman" w:hAnsi="Times New Roman" w:cs="Times New Roman"/>
      <w:sz w:val="20"/>
      <w:szCs w:val="20"/>
      <w:lang w:eastAsia="fr-FR"/>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customStyle="1" w:styleId="FootnoteCharacters">
    <w:name w:val="Footnote Characters"/>
    <w:rsid w:val="00D136A6"/>
    <w:rPr>
      <w:vertAlign w:val="superscript"/>
    </w:rPr>
  </w:style>
  <w:style w:type="character" w:customStyle="1" w:styleId="Marquenotebasdepage1">
    <w:name w:val="Marque note bas de page1"/>
    <w:rsid w:val="00D136A6"/>
    <w:rPr>
      <w:vertAlign w:val="superscript"/>
    </w:rPr>
  </w:style>
  <w:style w:type="character" w:styleId="Lienhypertexte">
    <w:name w:val="Hyperlink"/>
    <w:rsid w:val="00D136A6"/>
  </w:style>
  <w:style w:type="character" w:customStyle="1" w:styleId="Appelnotedebasdep1">
    <w:name w:val="Appel note de bas de p.1"/>
    <w:rsid w:val="00D136A6"/>
    <w:rPr>
      <w:vertAlign w:val="superscript"/>
    </w:rPr>
  </w:style>
  <w:style w:type="paragraph" w:styleId="Corpsdetexte">
    <w:name w:val="Body Text"/>
    <w:basedOn w:val="Normal"/>
    <w:link w:val="CorpsdetexteCar"/>
    <w:rsid w:val="00D136A6"/>
    <w:pPr>
      <w:spacing w:after="120"/>
    </w:pPr>
  </w:style>
  <w:style w:type="character" w:customStyle="1" w:styleId="CorpsdetexteCar">
    <w:name w:val="Corps de texte Car"/>
    <w:basedOn w:val="Policepardfaut"/>
    <w:link w:val="Corpsdetexte"/>
    <w:rsid w:val="00D136A6"/>
    <w:rPr>
      <w:rFonts w:ascii="Times New Roman" w:eastAsia="Times New Roman" w:hAnsi="Times New Roman" w:cs="Times New Roman"/>
      <w:sz w:val="20"/>
      <w:szCs w:val="20"/>
      <w:lang w:eastAsia="fr-FR"/>
    </w:rPr>
  </w:style>
  <w:style w:type="paragraph" w:styleId="Notedebasdepage">
    <w:name w:val="footnote text"/>
    <w:basedOn w:val="Normal"/>
    <w:link w:val="NotedebasdepageCar"/>
    <w:rsid w:val="00D136A6"/>
    <w:pPr>
      <w:suppressLineNumbers/>
      <w:ind w:left="283" w:hanging="283"/>
    </w:pPr>
  </w:style>
  <w:style w:type="character" w:customStyle="1" w:styleId="NotedebasdepageCar">
    <w:name w:val="Note de bas de page Car"/>
    <w:basedOn w:val="Policepardfaut"/>
    <w:link w:val="Notedebasdepage"/>
    <w:rsid w:val="00D136A6"/>
    <w:rPr>
      <w:rFonts w:ascii="Times New Roman" w:eastAsia="Times New Roman" w:hAnsi="Times New Roman" w:cs="Times New Roman"/>
      <w:sz w:val="20"/>
      <w:szCs w:val="20"/>
      <w:lang w:eastAsia="fr-FR"/>
    </w:rPr>
  </w:style>
  <w:style w:type="paragraph" w:customStyle="1" w:styleId="Notedebasdepage1">
    <w:name w:val="Note de bas de page1"/>
    <w:basedOn w:val="Normal"/>
    <w:rsid w:val="00D136A6"/>
    <w:pPr>
      <w:spacing w:line="100" w:lineRule="atLeast"/>
    </w:pPr>
  </w:style>
</w:styles>
</file>

<file path=word/webSettings.xml><?xml version="1.0" encoding="utf-8"?>
<w:webSettings xmlns:r="http://schemas.openxmlformats.org/officeDocument/2006/relationships" xmlns:w="http://schemas.openxmlformats.org/wordprocessingml/2006/main">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hyperlink" Target="http://www.courrierdesbalkans.fr/le-fil-de-l-info/le-piege-chinois-de-l-autoroute-bar-boljare-se-referme-sur-le-montenegro.html"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eacea.ec.europa.eu/llp/index_en.php" TargetMode="Externa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www.eu-asiacentre.eu/pub_details.php?pub_id=174" TargetMode="External"/><Relationship Id="rId4" Type="http://schemas.openxmlformats.org/officeDocument/2006/relationships/hyperlink" Target="http://councilforeuropeanstudies.org/critcom/chinese-investment-in-the-balkans/" TargetMode="External"/><Relationship Id="rId1" Type="http://schemas.openxmlformats.org/officeDocument/2006/relationships/hyperlink" Target="http://www.cer.org.uk/" TargetMode="External"/><Relationship Id="rId2" Type="http://schemas.openxmlformats.org/officeDocument/2006/relationships/hyperlink" Target="http://www.heritage.org/china-global-investment-tracker"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5547</Words>
  <Characters>31622</Characters>
  <Application>Microsoft Macintosh Word</Application>
  <DocSecurity>0</DocSecurity>
  <Lines>263</Lines>
  <Paragraphs>63</Paragraphs>
  <ScaleCrop>false</ScaleCrop>
  <HeadingPairs>
    <vt:vector size="2" baseType="variant">
      <vt:variant>
        <vt:lpstr>Titre</vt:lpstr>
      </vt:variant>
      <vt:variant>
        <vt:i4>1</vt:i4>
      </vt:variant>
    </vt:vector>
  </HeadingPairs>
  <TitlesOfParts>
    <vt:vector size="1" baseType="lpstr">
      <vt:lpstr/>
    </vt:vector>
  </TitlesOfParts>
  <Company>UNIVERSITE DU HAVRE</Company>
  <LinksUpToDate>false</LinksUpToDate>
  <CharactersWithSpaces>38834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Xavier Richet</dc:creator>
  <cp:keywords/>
  <dc:description/>
  <cp:lastModifiedBy>Fabre</cp:lastModifiedBy>
  <cp:revision>2</cp:revision>
  <cp:lastPrinted>2016-11-11T13:38:00Z</cp:lastPrinted>
  <dcterms:created xsi:type="dcterms:W3CDTF">2017-02-17T14:24:00Z</dcterms:created>
  <dcterms:modified xsi:type="dcterms:W3CDTF">2017-02-17T14:24:00Z</dcterms:modified>
</cp:coreProperties>
</file>