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8B" w:rsidRPr="000459B5" w:rsidRDefault="00D8508B">
      <w:pPr>
        <w:rPr>
          <w:rFonts w:ascii="Garamond" w:hAnsi="Garamond"/>
          <w:sz w:val="22"/>
        </w:rPr>
      </w:pPr>
      <w:r w:rsidRPr="000459B5">
        <w:rPr>
          <w:rFonts w:ascii="Garamond" w:eastAsiaTheme="minorEastAsia" w:hAnsi="Garamond" w:cs="Times New Roman"/>
          <w:sz w:val="22"/>
        </w:rPr>
        <w:t xml:space="preserve">Wang </w:t>
      </w:r>
      <w:proofErr w:type="spellStart"/>
      <w:r w:rsidRPr="000459B5">
        <w:rPr>
          <w:rFonts w:ascii="Garamond" w:eastAsiaTheme="minorEastAsia" w:hAnsi="Garamond" w:cs="Times New Roman"/>
          <w:sz w:val="22"/>
        </w:rPr>
        <w:t>Yucheng</w:t>
      </w:r>
      <w:proofErr w:type="spellEnd"/>
      <w:r w:rsidRPr="000459B5">
        <w:rPr>
          <w:rFonts w:ascii="Garamond" w:eastAsiaTheme="minorEastAsia" w:hAnsi="Garamond" w:cs="Times New Roman"/>
          <w:sz w:val="22"/>
        </w:rPr>
        <w:t xml:space="preserve">, </w:t>
      </w:r>
      <w:proofErr w:type="spellStart"/>
      <w:r w:rsidRPr="000459B5">
        <w:rPr>
          <w:rFonts w:ascii="Garamond" w:eastAsiaTheme="minorEastAsia" w:hAnsi="Garamond" w:cs="Times New Roman"/>
          <w:i/>
          <w:sz w:val="22"/>
        </w:rPr>
        <w:t>Quan</w:t>
      </w:r>
      <w:proofErr w:type="spellEnd"/>
      <w:r w:rsidRPr="000459B5">
        <w:rPr>
          <w:rFonts w:ascii="Garamond" w:eastAsiaTheme="minorEastAsia" w:hAnsi="Garamond" w:cs="Times New Roman"/>
          <w:i/>
          <w:sz w:val="22"/>
        </w:rPr>
        <w:t xml:space="preserve"> Song </w:t>
      </w:r>
      <w:proofErr w:type="spellStart"/>
      <w:r w:rsidRPr="000459B5">
        <w:rPr>
          <w:rFonts w:ascii="Garamond" w:eastAsiaTheme="minorEastAsia" w:hAnsi="Garamond" w:cs="Times New Roman"/>
          <w:i/>
          <w:sz w:val="22"/>
        </w:rPr>
        <w:t>wen</w:t>
      </w:r>
      <w:proofErr w:type="spellEnd"/>
      <w:r w:rsidRPr="000459B5">
        <w:rPr>
          <w:rFonts w:ascii="Garamond" w:eastAsiaTheme="minorEastAsia" w:hAnsi="Garamond" w:cs="Times New Roman"/>
          <w:sz w:val="22"/>
        </w:rPr>
        <w:t xml:space="preserve">, </w:t>
      </w:r>
      <w:r w:rsidRPr="000459B5">
        <w:rPr>
          <w:rFonts w:ascii="Garamond" w:eastAsiaTheme="minorEastAsia" w:hAnsi="Garamond" w:cs="Times New Roman"/>
          <w:i/>
          <w:sz w:val="22"/>
        </w:rPr>
        <w:t>juan</w:t>
      </w:r>
      <w:r w:rsidRPr="000459B5">
        <w:rPr>
          <w:rFonts w:ascii="Garamond" w:eastAsiaTheme="minorEastAsia" w:hAnsi="Garamond" w:cs="Times New Roman"/>
          <w:sz w:val="22"/>
        </w:rPr>
        <w:t xml:space="preserve"> 153, p. 5-7 ; </w:t>
      </w:r>
      <w:r w:rsidRPr="000459B5">
        <w:rPr>
          <w:rFonts w:ascii="Garamond" w:eastAsiaTheme="minorEastAsia" w:hAnsi="Garamond" w:cs="Times New Roman"/>
          <w:i/>
          <w:sz w:val="22"/>
        </w:rPr>
        <w:t xml:space="preserve">Wang </w:t>
      </w:r>
      <w:proofErr w:type="spellStart"/>
      <w:r w:rsidRPr="000459B5">
        <w:rPr>
          <w:rFonts w:ascii="Garamond" w:eastAsiaTheme="minorEastAsia" w:hAnsi="Garamond" w:cs="Times New Roman"/>
          <w:i/>
          <w:sz w:val="22"/>
        </w:rPr>
        <w:t>Huangzhou</w:t>
      </w:r>
      <w:proofErr w:type="spellEnd"/>
      <w:r w:rsidRPr="000459B5">
        <w:rPr>
          <w:rFonts w:ascii="Garamond" w:eastAsiaTheme="minorEastAsia" w:hAnsi="Garamond" w:cs="Times New Roman"/>
          <w:sz w:val="22"/>
        </w:rPr>
        <w:t xml:space="preserve"> </w:t>
      </w:r>
      <w:proofErr w:type="spellStart"/>
      <w:r w:rsidRPr="000459B5">
        <w:rPr>
          <w:rFonts w:ascii="Garamond" w:eastAsiaTheme="minorEastAsia" w:hAnsi="Garamond" w:cs="Times New Roman"/>
          <w:i/>
          <w:sz w:val="22"/>
        </w:rPr>
        <w:t>Xiaochu</w:t>
      </w:r>
      <w:proofErr w:type="spellEnd"/>
      <w:r w:rsidRPr="000459B5">
        <w:rPr>
          <w:rFonts w:ascii="Garamond" w:eastAsiaTheme="minorEastAsia" w:hAnsi="Garamond" w:cs="Times New Roman"/>
          <w:i/>
          <w:sz w:val="22"/>
        </w:rPr>
        <w:t xml:space="preserve"> </w:t>
      </w:r>
      <w:proofErr w:type="spellStart"/>
      <w:r w:rsidRPr="000459B5">
        <w:rPr>
          <w:rFonts w:ascii="Garamond" w:eastAsiaTheme="minorEastAsia" w:hAnsi="Garamond" w:cs="Times New Roman"/>
          <w:i/>
          <w:sz w:val="22"/>
        </w:rPr>
        <w:t>waiji</w:t>
      </w:r>
      <w:proofErr w:type="spellEnd"/>
      <w:r w:rsidRPr="000459B5">
        <w:rPr>
          <w:rFonts w:ascii="Garamond" w:eastAsiaTheme="minorEastAsia" w:hAnsi="Garamond" w:cs="Times New Roman"/>
          <w:sz w:val="22"/>
          <w:shd w:val="clear" w:color="auto" w:fill="FFFFFF"/>
        </w:rPr>
        <w:t>王黄州小畜外集</w:t>
      </w:r>
      <w:r w:rsidRPr="000459B5">
        <w:rPr>
          <w:rFonts w:ascii="Garamond" w:eastAsiaTheme="minorEastAsia" w:hAnsi="Garamond" w:cs="Times New Roman"/>
          <w:sz w:val="22"/>
        </w:rPr>
        <w:t xml:space="preserve">, </w:t>
      </w:r>
      <w:r w:rsidRPr="000459B5">
        <w:rPr>
          <w:rFonts w:ascii="Garamond" w:eastAsiaTheme="minorEastAsia" w:hAnsi="Garamond" w:cs="Times New Roman"/>
          <w:i/>
          <w:sz w:val="22"/>
        </w:rPr>
        <w:t>juan</w:t>
      </w:r>
      <w:r w:rsidRPr="000459B5">
        <w:rPr>
          <w:rFonts w:ascii="Garamond" w:eastAsiaTheme="minorEastAsia" w:hAnsi="Garamond" w:cs="Times New Roman"/>
          <w:sz w:val="22"/>
        </w:rPr>
        <w:t xml:space="preserve">, p. 5a-6a : </w:t>
      </w:r>
    </w:p>
    <w:p w:rsidR="00D8508B" w:rsidRPr="000459B5" w:rsidRDefault="00D8508B">
      <w:pPr>
        <w:rPr>
          <w:rFonts w:ascii="Garamond" w:hAnsi="Garamond"/>
          <w:sz w:val="22"/>
        </w:rPr>
      </w:pPr>
    </w:p>
    <w:p w:rsidR="006C47D9" w:rsidRPr="000459B5" w:rsidRDefault="00EC7254" w:rsidP="00D8508B">
      <w:pPr>
        <w:jc w:val="center"/>
        <w:rPr>
          <w:rFonts w:ascii="Garamond" w:hAnsi="Garamond"/>
          <w:sz w:val="22"/>
        </w:rPr>
      </w:pPr>
      <w:r w:rsidRPr="000459B5">
        <w:rPr>
          <w:rFonts w:ascii="Garamond" w:hAnsi="Garamond"/>
          <w:sz w:val="22"/>
        </w:rPr>
        <w:t>Lettr</w:t>
      </w:r>
      <w:r w:rsidR="00D8508B" w:rsidRPr="000459B5">
        <w:rPr>
          <w:rFonts w:ascii="Garamond" w:hAnsi="Garamond"/>
          <w:sz w:val="22"/>
        </w:rPr>
        <w:t>e pour accompagner le départ du censeur Chai pour la capitale</w:t>
      </w:r>
    </w:p>
    <w:p w:rsidR="00D8508B" w:rsidRPr="000459B5" w:rsidRDefault="00D8508B" w:rsidP="00D8508B">
      <w:pPr>
        <w:jc w:val="center"/>
        <w:rPr>
          <w:rFonts w:ascii="Garamond" w:hAnsi="Garamond"/>
          <w:sz w:val="22"/>
        </w:rPr>
      </w:pPr>
    </w:p>
    <w:p w:rsidR="00D8508B" w:rsidRPr="000459B5" w:rsidRDefault="00D8508B" w:rsidP="00D8508B">
      <w:pPr>
        <w:rPr>
          <w:rFonts w:ascii="Garamond" w:hAnsi="Garamond"/>
          <w:sz w:val="22"/>
        </w:rPr>
      </w:pPr>
    </w:p>
    <w:p w:rsidR="000459B5" w:rsidRDefault="00D8508B">
      <w:pPr>
        <w:rPr>
          <w:rFonts w:ascii="Garamond" w:hAnsi="Garamond"/>
          <w:sz w:val="22"/>
        </w:rPr>
      </w:pPr>
      <w:r w:rsidRPr="000459B5">
        <w:rPr>
          <w:rFonts w:ascii="Garamond" w:hAnsi="Garamond"/>
          <w:sz w:val="22"/>
        </w:rPr>
        <w:t>Depuis que les commanderies et les préfectures cadastrent l’</w:t>
      </w:r>
      <w:r w:rsidR="00B84388" w:rsidRPr="000459B5">
        <w:rPr>
          <w:rFonts w:ascii="Garamond" w:hAnsi="Garamond"/>
          <w:sz w:val="22"/>
        </w:rPr>
        <w:t xml:space="preserve">empire, les plus nobles des fonctionnaires de province ne perçoivent qu’un traitement de 2000 </w:t>
      </w:r>
      <w:r w:rsidR="00B84388" w:rsidRPr="000B16DA">
        <w:rPr>
          <w:rFonts w:ascii="Garamond" w:hAnsi="Garamond"/>
          <w:i/>
          <w:sz w:val="22"/>
        </w:rPr>
        <w:t>dan</w:t>
      </w:r>
      <w:r w:rsidR="00B84388" w:rsidRPr="000459B5">
        <w:rPr>
          <w:rFonts w:ascii="Garamond" w:hAnsi="Garamond"/>
          <w:sz w:val="22"/>
        </w:rPr>
        <w:t xml:space="preserve">. Quand ils paraissent à la cour, ils saluent les trois Ducs et s’entretiennent de la voie ; quand ils en sortent, ils dirigent [en préfet] un attelage de cinq chevaux pour effectuer leur tournée printanière d’inspection, </w:t>
      </w:r>
      <w:r w:rsidR="000459B5" w:rsidRPr="000459B5">
        <w:rPr>
          <w:rFonts w:ascii="Garamond" w:hAnsi="Garamond"/>
          <w:sz w:val="22"/>
        </w:rPr>
        <w:t>ils gouvernent cent villes e</w:t>
      </w:r>
      <w:r w:rsidR="000459B5">
        <w:rPr>
          <w:rFonts w:ascii="Garamond" w:hAnsi="Garamond"/>
          <w:sz w:val="22"/>
        </w:rPr>
        <w:t>t y trouvent leur prospérité</w:t>
      </w:r>
      <w:r w:rsidR="00B84388" w:rsidRPr="000459B5">
        <w:rPr>
          <w:rFonts w:ascii="Garamond" w:hAnsi="Garamond"/>
          <w:sz w:val="22"/>
        </w:rPr>
        <w:t>.</w:t>
      </w:r>
      <w:r w:rsidR="000459B5">
        <w:rPr>
          <w:rFonts w:ascii="Garamond" w:hAnsi="Garamond"/>
          <w:sz w:val="22"/>
        </w:rPr>
        <w:t xml:space="preserve"> Quant à ceux qui sont envoyés pour protéger les frontières, qui jouissent de la position élevée des généraux et des ministres, même s’il s’agit des plus grands serviteurs de l’État, ils sont soumis</w:t>
      </w:r>
      <w:r w:rsidR="009420C6">
        <w:rPr>
          <w:rFonts w:ascii="Garamond" w:hAnsi="Garamond"/>
          <w:sz w:val="22"/>
        </w:rPr>
        <w:t>,</w:t>
      </w:r>
      <w:r w:rsidR="000459B5">
        <w:rPr>
          <w:rFonts w:ascii="Garamond" w:hAnsi="Garamond"/>
          <w:sz w:val="22"/>
        </w:rPr>
        <w:t xml:space="preserve"> eux au</w:t>
      </w:r>
      <w:r w:rsidR="009420C6">
        <w:rPr>
          <w:rFonts w:ascii="Garamond" w:hAnsi="Garamond"/>
          <w:sz w:val="22"/>
        </w:rPr>
        <w:t xml:space="preserve">ssi, aux enquêtes sur les délits et respectent ce principe. La maison impériale profitant des erreurs des nombreuses dynasties passées a dépouillé les grands seigneurs de leur pouvoir ; des deux capitales et des cinq garnisons jusqu’aux préfectures subalternes les plus éloignées, </w:t>
      </w:r>
      <w:r w:rsidR="000B16DA">
        <w:rPr>
          <w:rFonts w:ascii="Garamond" w:hAnsi="Garamond"/>
          <w:sz w:val="22"/>
        </w:rPr>
        <w:t>elle</w:t>
      </w:r>
      <w:r w:rsidR="004535F2">
        <w:rPr>
          <w:rFonts w:ascii="Garamond" w:hAnsi="Garamond"/>
          <w:sz w:val="22"/>
        </w:rPr>
        <w:t xml:space="preserve"> a conduit</w:t>
      </w:r>
      <w:r w:rsidR="000B16DA">
        <w:rPr>
          <w:rFonts w:ascii="Garamond" w:hAnsi="Garamond"/>
          <w:sz w:val="22"/>
        </w:rPr>
        <w:t xml:space="preserve"> tous</w:t>
      </w:r>
      <w:r w:rsidR="004535F2">
        <w:rPr>
          <w:rFonts w:ascii="Garamond" w:hAnsi="Garamond"/>
          <w:sz w:val="22"/>
        </w:rPr>
        <w:t xml:space="preserve"> les ministres confucéens à reconnaître leurs manquements, mis un terme aux exploits militaires et valorisé le gouvernement pour le peuple. </w:t>
      </w:r>
    </w:p>
    <w:p w:rsidR="000B16DA" w:rsidRDefault="00F1649C">
      <w:pPr>
        <w:rPr>
          <w:rFonts w:ascii="Garamond" w:hAnsi="Garamond"/>
          <w:sz w:val="22"/>
        </w:rPr>
      </w:pPr>
      <w:r>
        <w:rPr>
          <w:rFonts w:ascii="Garamond" w:hAnsi="Garamond"/>
          <w:sz w:val="22"/>
        </w:rPr>
        <w:t xml:space="preserve">Des commanderies du </w:t>
      </w:r>
      <w:proofErr w:type="spellStart"/>
      <w:r>
        <w:rPr>
          <w:rFonts w:ascii="Garamond" w:hAnsi="Garamond"/>
          <w:sz w:val="22"/>
        </w:rPr>
        <w:t>Jiang</w:t>
      </w:r>
      <w:r w:rsidR="004535F2">
        <w:rPr>
          <w:rFonts w:ascii="Garamond" w:hAnsi="Garamond"/>
          <w:sz w:val="22"/>
        </w:rPr>
        <w:t>dong</w:t>
      </w:r>
      <w:proofErr w:type="spellEnd"/>
      <w:r w:rsidR="004535F2">
        <w:rPr>
          <w:rFonts w:ascii="Garamond" w:hAnsi="Garamond"/>
          <w:sz w:val="22"/>
        </w:rPr>
        <w:t>, celle de Wu est la plus grande, les impôts y sont les plus élevés, la population abondante. Depuis que ce territoire a été rattaché à l’empire</w:t>
      </w:r>
      <w:r w:rsidR="00D02B54">
        <w:rPr>
          <w:rFonts w:ascii="Garamond" w:hAnsi="Garamond"/>
          <w:sz w:val="22"/>
        </w:rPr>
        <w:t>, de célèbres serviteurs de l’État s’</w:t>
      </w:r>
      <w:r>
        <w:rPr>
          <w:rFonts w:ascii="Garamond" w:hAnsi="Garamond"/>
          <w:sz w:val="22"/>
        </w:rPr>
        <w:t>y sont succédé</w:t>
      </w:r>
      <w:r w:rsidR="00D02B54">
        <w:rPr>
          <w:rFonts w:ascii="Garamond" w:hAnsi="Garamond"/>
          <w:sz w:val="22"/>
        </w:rPr>
        <w:t xml:space="preserve">. Au printemps de la neuvième année du règne céleste, messire Chai de </w:t>
      </w:r>
      <w:proofErr w:type="spellStart"/>
      <w:r w:rsidR="00D02B54">
        <w:rPr>
          <w:rFonts w:ascii="Garamond" w:hAnsi="Garamond"/>
          <w:sz w:val="22"/>
        </w:rPr>
        <w:t>Pingyang</w:t>
      </w:r>
      <w:proofErr w:type="spellEnd"/>
      <w:r w:rsidR="00D02B54">
        <w:rPr>
          <w:rFonts w:ascii="Garamond" w:hAnsi="Garamond"/>
          <w:sz w:val="22"/>
        </w:rPr>
        <w:t>, en qualité de censeur au Secrétariat, vint l’administrer. Messire, s’</w:t>
      </w:r>
      <w:r>
        <w:rPr>
          <w:rFonts w:ascii="Garamond" w:hAnsi="Garamond"/>
          <w:sz w:val="22"/>
        </w:rPr>
        <w:t>étant consacré aux Lettres, a [très] tôt réussi parmi les premiers aux</w:t>
      </w:r>
      <w:r w:rsidR="00D02B54">
        <w:rPr>
          <w:rFonts w:ascii="Garamond" w:hAnsi="Garamond"/>
          <w:sz w:val="22"/>
        </w:rPr>
        <w:t xml:space="preserve"> examens</w:t>
      </w:r>
      <w:r>
        <w:rPr>
          <w:rFonts w:ascii="Garamond" w:hAnsi="Garamond"/>
          <w:sz w:val="22"/>
        </w:rPr>
        <w:t xml:space="preserve"> de doctorat ; disposant d’un talent d’un ministre d’État, il n’occupe pas encore une position signalée. </w:t>
      </w:r>
      <w:r w:rsidR="0006451B">
        <w:rPr>
          <w:rFonts w:ascii="Garamond" w:hAnsi="Garamond"/>
          <w:sz w:val="22"/>
        </w:rPr>
        <w:t xml:space="preserve">Il privilégie la clémence et la simplicité dans l’application des normes, se montre </w:t>
      </w:r>
      <w:proofErr w:type="gramStart"/>
      <w:r w:rsidR="0006451B">
        <w:rPr>
          <w:rFonts w:ascii="Garamond" w:hAnsi="Garamond"/>
          <w:sz w:val="22"/>
        </w:rPr>
        <w:t>respectueux</w:t>
      </w:r>
      <w:proofErr w:type="gramEnd"/>
      <w:r w:rsidR="0006451B">
        <w:rPr>
          <w:rFonts w:ascii="Garamond" w:hAnsi="Garamond"/>
          <w:sz w:val="22"/>
        </w:rPr>
        <w:t xml:space="preserve"> et méritant dans son gouvernement, les agents [qu’ils emploient] ne peuvent frauder et tous font l’expérience de sa douce influence. Lorsqu’on examine comment il débat d’une affaire ou prononce une parole, [on s’aperçoit qu’] il est capable à tout coup d’adapter les traditions anciennes au présent,  </w:t>
      </w:r>
      <w:r w:rsidR="00AE79D9">
        <w:rPr>
          <w:rFonts w:ascii="Garamond" w:hAnsi="Garamond"/>
          <w:sz w:val="22"/>
        </w:rPr>
        <w:t>d’explorer à fond les mystères qui relient les plans naturels et humains, de s’accorder à la voie des augustes rois</w:t>
      </w:r>
      <w:r w:rsidR="000B16DA">
        <w:rPr>
          <w:rFonts w:ascii="Garamond" w:hAnsi="Garamond"/>
          <w:sz w:val="22"/>
        </w:rPr>
        <w:t> ;</w:t>
      </w:r>
      <w:r w:rsidR="00AE79D9">
        <w:rPr>
          <w:rFonts w:ascii="Garamond" w:hAnsi="Garamond"/>
          <w:sz w:val="22"/>
        </w:rPr>
        <w:t xml:space="preserve"> quant à la mise au point des stratégies, il en déploie tous les fils. Il conviendrait qu’il assiste comme ministre un grand souverain et transforme par son influence mille pays. </w:t>
      </w:r>
      <w:r w:rsidR="00B84388" w:rsidRPr="000459B5">
        <w:rPr>
          <w:rFonts w:ascii="Garamond" w:hAnsi="Garamond"/>
          <w:sz w:val="22"/>
        </w:rPr>
        <w:t xml:space="preserve"> </w:t>
      </w:r>
    </w:p>
    <w:p w:rsidR="00D8508B" w:rsidRDefault="00A23F23">
      <w:pPr>
        <w:rPr>
          <w:rFonts w:ascii="Garamond" w:hAnsi="Garamond"/>
          <w:sz w:val="22"/>
        </w:rPr>
      </w:pPr>
      <w:r>
        <w:rPr>
          <w:rFonts w:ascii="Garamond" w:hAnsi="Garamond"/>
          <w:sz w:val="22"/>
        </w:rPr>
        <w:t>Or</w:t>
      </w:r>
      <w:r w:rsidR="000B16DA">
        <w:rPr>
          <w:rFonts w:ascii="Garamond" w:hAnsi="Garamond"/>
          <w:sz w:val="22"/>
        </w:rPr>
        <w:t>,</w:t>
      </w:r>
      <w:r>
        <w:rPr>
          <w:rFonts w:ascii="Garamond" w:hAnsi="Garamond"/>
          <w:sz w:val="22"/>
        </w:rPr>
        <w:t xml:space="preserve"> aujourd’hui ceux qui dirigent les commanderies, voient leur supérieur les presser, les affaires</w:t>
      </w:r>
      <w:r w:rsidRPr="00A23F23">
        <w:rPr>
          <w:rFonts w:ascii="Garamond" w:hAnsi="Garamond"/>
          <w:sz w:val="22"/>
        </w:rPr>
        <w:t xml:space="preserve"> n</w:t>
      </w:r>
      <w:r>
        <w:rPr>
          <w:rFonts w:ascii="Garamond" w:hAnsi="Garamond"/>
          <w:sz w:val="22"/>
        </w:rPr>
        <w:t>’en sont pas facilitées, et bien qu’ils aient du talent à revendre, il arrive que la voie n</w:t>
      </w:r>
      <w:r w:rsidR="000B16DA">
        <w:rPr>
          <w:rFonts w:ascii="Garamond" w:hAnsi="Garamond"/>
          <w:sz w:val="22"/>
        </w:rPr>
        <w:t>e soit</w:t>
      </w:r>
      <w:r>
        <w:rPr>
          <w:rFonts w:ascii="Garamond" w:hAnsi="Garamond"/>
          <w:sz w:val="22"/>
        </w:rPr>
        <w:t xml:space="preserve"> pas accomplie. Aussi comprenant le principe des évolutions et des changements, messire a </w:t>
      </w:r>
      <w:r w:rsidR="00087376">
        <w:rPr>
          <w:rFonts w:ascii="Garamond" w:hAnsi="Garamond"/>
          <w:sz w:val="22"/>
        </w:rPr>
        <w:t xml:space="preserve">mis un terme à l’esprit de [vaine] compétition pour la gloire, ne se targue pas de ses talents de fonctionnaire, ne s’achète pas une réputation temporaire ; vide et simple, il renforce sa conduite, égalise en toutes circonstances lumière et poussière [dissimule ses talents] et ses proches [ceux qui le connaissent] savent </w:t>
      </w:r>
      <w:r w:rsidR="00BF2DCB">
        <w:rPr>
          <w:rFonts w:ascii="Garamond" w:hAnsi="Garamond"/>
          <w:sz w:val="22"/>
        </w:rPr>
        <w:t xml:space="preserve">qu’il est un ermite dans la carrière. </w:t>
      </w:r>
    </w:p>
    <w:p w:rsidR="00BD6C01" w:rsidRDefault="00BF2DCB">
      <w:pPr>
        <w:rPr>
          <w:rFonts w:ascii="Garamond" w:hAnsi="Garamond"/>
          <w:sz w:val="22"/>
        </w:rPr>
      </w:pPr>
      <w:r>
        <w:rPr>
          <w:rFonts w:ascii="Garamond" w:hAnsi="Garamond"/>
          <w:sz w:val="22"/>
        </w:rPr>
        <w:t>Les membres du Ministère de la fonction publique évaluent tous les trois ans</w:t>
      </w:r>
      <w:r w:rsidR="0020043D">
        <w:rPr>
          <w:rFonts w:ascii="Garamond" w:hAnsi="Garamond"/>
          <w:sz w:val="22"/>
        </w:rPr>
        <w:t xml:space="preserve"> le</w:t>
      </w:r>
      <w:r>
        <w:rPr>
          <w:rFonts w:ascii="Garamond" w:hAnsi="Garamond"/>
          <w:sz w:val="22"/>
        </w:rPr>
        <w:t xml:space="preserve">s réalisations, promeuvent ou destituent capables et incompétents, mettent en avant les règles anciennes </w:t>
      </w:r>
      <w:r w:rsidR="0020043D">
        <w:rPr>
          <w:rFonts w:ascii="Garamond" w:hAnsi="Garamond"/>
          <w:sz w:val="22"/>
        </w:rPr>
        <w:t>pour corriger le</w:t>
      </w:r>
      <w:r w:rsidR="00840099">
        <w:rPr>
          <w:rFonts w:ascii="Garamond" w:hAnsi="Garamond"/>
          <w:sz w:val="22"/>
        </w:rPr>
        <w:t>s manquements</w:t>
      </w:r>
      <w:r>
        <w:rPr>
          <w:rFonts w:ascii="Garamond" w:hAnsi="Garamond"/>
          <w:sz w:val="22"/>
        </w:rPr>
        <w:t xml:space="preserve"> ; les examinateurs des mérites </w:t>
      </w:r>
      <w:r w:rsidR="000B16DA">
        <w:rPr>
          <w:rFonts w:ascii="Garamond" w:hAnsi="Garamond"/>
          <w:sz w:val="22"/>
        </w:rPr>
        <w:t>encouragent</w:t>
      </w:r>
      <w:r>
        <w:rPr>
          <w:rFonts w:ascii="Garamond" w:hAnsi="Garamond"/>
          <w:sz w:val="22"/>
        </w:rPr>
        <w:t xml:space="preserve"> d’après les rites et l’équité, purgent les bureaux et les administrations</w:t>
      </w:r>
      <w:r w:rsidR="000B16DA">
        <w:rPr>
          <w:rFonts w:ascii="Garamond" w:hAnsi="Garamond"/>
          <w:sz w:val="22"/>
        </w:rPr>
        <w:t>,</w:t>
      </w:r>
      <w:r w:rsidR="00840099">
        <w:rPr>
          <w:rFonts w:ascii="Garamond" w:hAnsi="Garamond" w:hint="eastAsia"/>
          <w:sz w:val="22"/>
        </w:rPr>
        <w:t xml:space="preserve"> </w:t>
      </w:r>
      <w:r w:rsidR="00840099">
        <w:rPr>
          <w:rFonts w:ascii="Garamond" w:hAnsi="Garamond"/>
          <w:sz w:val="22"/>
        </w:rPr>
        <w:t>transmettent pour les meilleurs les rapports d’activité à la cour afin d’en signaler les mérites. Ainsi la gestion de Gong Sui et celle de Huang Ba</w:t>
      </w:r>
      <w:r w:rsidR="00840099">
        <w:rPr>
          <w:rStyle w:val="Appelnotedebasdep"/>
          <w:rFonts w:ascii="Garamond" w:hAnsi="Garamond"/>
          <w:sz w:val="22"/>
        </w:rPr>
        <w:footnoteReference w:id="1"/>
      </w:r>
      <w:r w:rsidR="00840099">
        <w:rPr>
          <w:rFonts w:ascii="Garamond" w:hAnsi="Garamond"/>
          <w:sz w:val="22"/>
        </w:rPr>
        <w:t xml:space="preserve"> furent-elles parachevées </w:t>
      </w:r>
      <w:r w:rsidR="00F63445">
        <w:rPr>
          <w:rFonts w:ascii="Garamond" w:hAnsi="Garamond"/>
          <w:sz w:val="22"/>
        </w:rPr>
        <w:t xml:space="preserve">et </w:t>
      </w:r>
      <w:proofErr w:type="spellStart"/>
      <w:r w:rsidR="00F63445">
        <w:rPr>
          <w:rFonts w:ascii="Garamond" w:hAnsi="Garamond"/>
          <w:sz w:val="22"/>
        </w:rPr>
        <w:t>Shao</w:t>
      </w:r>
      <w:proofErr w:type="spellEnd"/>
      <w:r w:rsidR="00F63445">
        <w:rPr>
          <w:rFonts w:ascii="Garamond" w:hAnsi="Garamond"/>
          <w:sz w:val="22"/>
        </w:rPr>
        <w:t xml:space="preserve"> </w:t>
      </w:r>
      <w:proofErr w:type="spellStart"/>
      <w:r w:rsidR="00F63445">
        <w:rPr>
          <w:rFonts w:ascii="Garamond" w:hAnsi="Garamond"/>
          <w:sz w:val="22"/>
        </w:rPr>
        <w:t>Xinchen</w:t>
      </w:r>
      <w:proofErr w:type="spellEnd"/>
      <w:r w:rsidR="00F63445">
        <w:rPr>
          <w:rFonts w:ascii="Garamond" w:hAnsi="Garamond"/>
          <w:sz w:val="22"/>
        </w:rPr>
        <w:t xml:space="preserve"> et Du </w:t>
      </w:r>
      <w:proofErr w:type="spellStart"/>
      <w:r w:rsidR="00F63445">
        <w:rPr>
          <w:rFonts w:ascii="Garamond" w:hAnsi="Garamond"/>
          <w:sz w:val="22"/>
        </w:rPr>
        <w:t>Shi</w:t>
      </w:r>
      <w:proofErr w:type="spellEnd"/>
      <w:r w:rsidR="00F63445">
        <w:rPr>
          <w:rStyle w:val="Appelnotedebasdep"/>
          <w:rFonts w:ascii="Garamond" w:hAnsi="Garamond"/>
          <w:sz w:val="22"/>
        </w:rPr>
        <w:footnoteReference w:id="2"/>
      </w:r>
      <w:r w:rsidR="00F63445">
        <w:rPr>
          <w:rFonts w:ascii="Garamond" w:hAnsi="Garamond"/>
          <w:sz w:val="22"/>
        </w:rPr>
        <w:t xml:space="preserve"> se sont-ils succédé ! </w:t>
      </w:r>
      <w:r w:rsidR="001F62EF">
        <w:rPr>
          <w:rFonts w:ascii="Garamond" w:hAnsi="Garamond"/>
          <w:sz w:val="22"/>
        </w:rPr>
        <w:t xml:space="preserve">Si ceci est mis en </w:t>
      </w:r>
      <w:r w:rsidR="000B16DA">
        <w:rPr>
          <w:rFonts w:ascii="Garamond" w:hAnsi="Garamond"/>
          <w:sz w:val="22"/>
        </w:rPr>
        <w:t>pratique</w:t>
      </w:r>
      <w:r w:rsidR="001F62EF">
        <w:rPr>
          <w:rFonts w:ascii="Garamond" w:hAnsi="Garamond"/>
          <w:sz w:val="22"/>
        </w:rPr>
        <w:t xml:space="preserve">, </w:t>
      </w:r>
      <w:r w:rsidR="0020043D">
        <w:rPr>
          <w:rFonts w:ascii="Garamond" w:hAnsi="Garamond"/>
          <w:sz w:val="22"/>
        </w:rPr>
        <w:t>la voie</w:t>
      </w:r>
      <w:r w:rsidR="001F62EF">
        <w:rPr>
          <w:rFonts w:ascii="Garamond" w:hAnsi="Garamond"/>
          <w:sz w:val="22"/>
        </w:rPr>
        <w:t xml:space="preserve"> sera à l’</w:t>
      </w:r>
      <w:r w:rsidR="0020043D">
        <w:rPr>
          <w:rFonts w:ascii="Garamond" w:hAnsi="Garamond"/>
          <w:sz w:val="22"/>
        </w:rPr>
        <w:t>œuvre</w:t>
      </w:r>
      <w:r w:rsidR="001F62EF">
        <w:rPr>
          <w:rFonts w:ascii="Garamond" w:hAnsi="Garamond"/>
          <w:sz w:val="22"/>
        </w:rPr>
        <w:t xml:space="preserve">, </w:t>
      </w:r>
      <w:r w:rsidR="0020043D">
        <w:rPr>
          <w:rFonts w:ascii="Garamond" w:hAnsi="Garamond"/>
          <w:sz w:val="22"/>
        </w:rPr>
        <w:t>les positions viendront</w:t>
      </w:r>
      <w:r w:rsidR="000B16DA">
        <w:rPr>
          <w:rFonts w:ascii="Garamond" w:hAnsi="Garamond"/>
          <w:sz w:val="22"/>
        </w:rPr>
        <w:t xml:space="preserve"> [conformément aux compétences ?]</w:t>
      </w:r>
      <w:r w:rsidR="0020043D">
        <w:rPr>
          <w:rFonts w:ascii="Garamond" w:hAnsi="Garamond"/>
          <w:sz w:val="22"/>
        </w:rPr>
        <w:t>,</w:t>
      </w:r>
      <w:r w:rsidR="000B16DA">
        <w:rPr>
          <w:rFonts w:ascii="Garamond" w:hAnsi="Garamond"/>
          <w:sz w:val="22"/>
        </w:rPr>
        <w:t xml:space="preserve"> le Saint M</w:t>
      </w:r>
      <w:r w:rsidR="0020043D">
        <w:rPr>
          <w:rFonts w:ascii="Garamond" w:hAnsi="Garamond"/>
          <w:sz w:val="22"/>
        </w:rPr>
        <w:t xml:space="preserve">aître des hommes trouvera des talents éminents, et le peuple le bonheur ! En outre on les verra assister l’Homme Unique, engager et limoger tous les fonctionnaires, nourrir les souffles harmonieux, </w:t>
      </w:r>
      <w:r w:rsidR="00123E65">
        <w:rPr>
          <w:rFonts w:ascii="Garamond" w:hAnsi="Garamond"/>
          <w:sz w:val="22"/>
        </w:rPr>
        <w:t xml:space="preserve">exhorter aux mœurs simples et honnêtes, bienfaisants comme un printemps vigoureux,  diffus comme une pluie abondante, instruire toutes les espèces et les accueillir dans le pays de </w:t>
      </w:r>
      <w:proofErr w:type="spellStart"/>
      <w:r w:rsidR="00123E65">
        <w:rPr>
          <w:rFonts w:ascii="Garamond" w:hAnsi="Garamond"/>
          <w:sz w:val="22"/>
        </w:rPr>
        <w:t>Huaxu</w:t>
      </w:r>
      <w:proofErr w:type="spellEnd"/>
      <w:r w:rsidR="00123E65">
        <w:rPr>
          <w:rFonts w:ascii="Garamond" w:hAnsi="Garamond"/>
          <w:sz w:val="22"/>
        </w:rPr>
        <w:t xml:space="preserve">. Alors nobles et riches seront hautement estimés et jouiront sans honte [de leurs privilèges] et </w:t>
      </w:r>
      <w:r w:rsidR="00FE45F9">
        <w:rPr>
          <w:rFonts w:ascii="Garamond" w:hAnsi="Garamond"/>
          <w:sz w:val="22"/>
        </w:rPr>
        <w:t xml:space="preserve">on </w:t>
      </w:r>
      <w:r w:rsidR="00123E65">
        <w:rPr>
          <w:rFonts w:ascii="Garamond" w:hAnsi="Garamond"/>
          <w:sz w:val="22"/>
        </w:rPr>
        <w:t>ne saura plus quels sortes d’</w:t>
      </w:r>
      <w:r w:rsidR="00983268">
        <w:rPr>
          <w:rFonts w:ascii="Garamond" w:hAnsi="Garamond"/>
          <w:sz w:val="22"/>
        </w:rPr>
        <w:t xml:space="preserve">hommes étaient Fang </w:t>
      </w:r>
      <w:proofErr w:type="spellStart"/>
      <w:r w:rsidR="00983268">
        <w:rPr>
          <w:rFonts w:ascii="Garamond" w:hAnsi="Garamond"/>
          <w:sz w:val="22"/>
        </w:rPr>
        <w:t>Xuanling</w:t>
      </w:r>
      <w:proofErr w:type="spellEnd"/>
      <w:r w:rsidR="00983268">
        <w:rPr>
          <w:rFonts w:ascii="Garamond" w:hAnsi="Garamond"/>
          <w:sz w:val="22"/>
        </w:rPr>
        <w:t xml:space="preserve"> ou W</w:t>
      </w:r>
      <w:r w:rsidR="00123E65">
        <w:rPr>
          <w:rFonts w:ascii="Garamond" w:hAnsi="Garamond"/>
          <w:sz w:val="22"/>
        </w:rPr>
        <w:t>ei</w:t>
      </w:r>
      <w:r w:rsidR="00983268">
        <w:rPr>
          <w:rFonts w:ascii="Garamond" w:hAnsi="Garamond"/>
          <w:sz w:val="22"/>
        </w:rPr>
        <w:t xml:space="preserve"> Zheng</w:t>
      </w:r>
      <w:r w:rsidR="00983268">
        <w:rPr>
          <w:rStyle w:val="Appelnotedebasdep"/>
          <w:rFonts w:ascii="Garamond" w:hAnsi="Garamond"/>
          <w:sz w:val="22"/>
        </w:rPr>
        <w:footnoteReference w:id="3"/>
      </w:r>
      <w:r w:rsidR="00FE45F9">
        <w:rPr>
          <w:rFonts w:ascii="Garamond" w:hAnsi="Garamond"/>
          <w:sz w:val="22"/>
        </w:rPr>
        <w:t xml:space="preserve"> ! </w:t>
      </w:r>
    </w:p>
    <w:p w:rsidR="00BD6C01" w:rsidRDefault="00BD6C01" w:rsidP="00BD6C01">
      <w:pPr>
        <w:rPr>
          <w:rFonts w:ascii="Garamond" w:hAnsi="Garamond"/>
          <w:sz w:val="22"/>
        </w:rPr>
      </w:pPr>
      <w:r>
        <w:rPr>
          <w:rFonts w:ascii="Garamond" w:hAnsi="Garamond"/>
          <w:sz w:val="22"/>
        </w:rPr>
        <w:t xml:space="preserve">[Mais] les débats dans le peuple [l’opinion publique ?] qui se déploient en tous sens prennent forme dans de telles paroles, et il n’est plus possible de connaître quelle est l’intention du Ciel ! </w:t>
      </w:r>
    </w:p>
    <w:p w:rsidR="004535F2" w:rsidRDefault="00873A95">
      <w:pPr>
        <w:rPr>
          <w:rFonts w:ascii="Garamond" w:hAnsi="Garamond"/>
          <w:sz w:val="22"/>
        </w:rPr>
      </w:pPr>
      <w:r>
        <w:rPr>
          <w:rFonts w:ascii="Garamond" w:hAnsi="Garamond"/>
          <w:sz w:val="22"/>
        </w:rPr>
        <w:lastRenderedPageBreak/>
        <w:t>Dans le pays des eaux à la fin</w:t>
      </w:r>
      <w:r w:rsidR="00BD6C01">
        <w:rPr>
          <w:rFonts w:ascii="Garamond" w:hAnsi="Garamond"/>
          <w:sz w:val="22"/>
        </w:rPr>
        <w:t xml:space="preserve"> du printemps, </w:t>
      </w:r>
      <w:r>
        <w:rPr>
          <w:rFonts w:ascii="Garamond" w:hAnsi="Garamond"/>
          <w:sz w:val="22"/>
        </w:rPr>
        <w:t>entre le ciel et le fleuve, sous la pluie et quand vient l’éclaircie, au pied des monts de la Colline du Tigre escarpés et majestueux, tournant le dos aux ondes bouillonnantes du Grand Lac, les gens ordinaires répandent les larmes de l’adieu qui mouillent leur habit</w:t>
      </w:r>
      <w:r w:rsidR="00645CE5">
        <w:rPr>
          <w:rFonts w:ascii="Garamond" w:hAnsi="Garamond"/>
          <w:sz w:val="22"/>
        </w:rPr>
        <w:t xml:space="preserve"> brodé</w:t>
      </w:r>
      <w:r>
        <w:rPr>
          <w:rFonts w:ascii="Garamond" w:hAnsi="Garamond"/>
          <w:sz w:val="22"/>
        </w:rPr>
        <w:t> ; les agents offrent les coupes du départ et voudraient arrêter les rapides coursiers. M</w:t>
      </w:r>
      <w:r w:rsidR="00645CE5">
        <w:rPr>
          <w:rFonts w:ascii="Garamond" w:hAnsi="Garamond"/>
          <w:sz w:val="22"/>
        </w:rPr>
        <w:t>o</w:t>
      </w:r>
      <w:r>
        <w:rPr>
          <w:rFonts w:ascii="Garamond" w:hAnsi="Garamond"/>
          <w:sz w:val="22"/>
        </w:rPr>
        <w:t>i, Wang, arbitre judiciaire</w:t>
      </w:r>
      <w:r w:rsidR="00645CE5">
        <w:rPr>
          <w:rFonts w:ascii="Garamond" w:hAnsi="Garamond"/>
          <w:sz w:val="22"/>
        </w:rPr>
        <w:t>, fonctionnaire affecté dans ce bourg, fut comblé des faveurs [de messire</w:t>
      </w:r>
      <w:r w:rsidR="000B16DA">
        <w:rPr>
          <w:rFonts w:ascii="Garamond" w:hAnsi="Garamond"/>
          <w:sz w:val="22"/>
        </w:rPr>
        <w:t xml:space="preserve">], recueille les larmes et prend </w:t>
      </w:r>
      <w:r w:rsidR="00645CE5">
        <w:rPr>
          <w:rFonts w:ascii="Garamond" w:hAnsi="Garamond"/>
          <w:sz w:val="22"/>
        </w:rPr>
        <w:t>le pinceau pour exprim</w:t>
      </w:r>
      <w:r w:rsidR="000B16DA">
        <w:rPr>
          <w:rFonts w:ascii="Garamond" w:hAnsi="Garamond"/>
          <w:sz w:val="22"/>
        </w:rPr>
        <w:t>er dans</w:t>
      </w:r>
      <w:r w:rsidR="00645CE5" w:rsidRPr="00645CE5">
        <w:rPr>
          <w:rFonts w:ascii="Garamond" w:hAnsi="Garamond"/>
          <w:sz w:val="22"/>
        </w:rPr>
        <w:t xml:space="preserve"> cette l</w:t>
      </w:r>
      <w:r w:rsidR="00645CE5">
        <w:rPr>
          <w:rFonts w:ascii="Garamond" w:hAnsi="Garamond"/>
          <w:sz w:val="22"/>
        </w:rPr>
        <w:t>ettre</w:t>
      </w:r>
      <w:r w:rsidR="000B16DA">
        <w:rPr>
          <w:rFonts w:ascii="Garamond" w:hAnsi="Garamond"/>
          <w:sz w:val="22"/>
        </w:rPr>
        <w:t xml:space="preserve"> l’atmosphère en son départ. </w:t>
      </w:r>
      <w:r>
        <w:rPr>
          <w:rFonts w:ascii="Garamond" w:hAnsi="Garamond"/>
          <w:sz w:val="22"/>
        </w:rPr>
        <w:t xml:space="preserve"> </w:t>
      </w:r>
    </w:p>
    <w:p w:rsidR="000B16DA" w:rsidRPr="000459B5" w:rsidRDefault="000B16DA">
      <w:pPr>
        <w:rPr>
          <w:rFonts w:ascii="Garamond" w:hAnsi="Garamond"/>
          <w:sz w:val="22"/>
        </w:rPr>
      </w:pPr>
    </w:p>
    <w:sectPr w:rsidR="000B16DA" w:rsidRPr="000459B5" w:rsidSect="006C47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C0" w:rsidRDefault="00266BC0" w:rsidP="00840099">
      <w:r>
        <w:separator/>
      </w:r>
    </w:p>
  </w:endnote>
  <w:endnote w:type="continuationSeparator" w:id="0">
    <w:p w:rsidR="00266BC0" w:rsidRDefault="00266BC0" w:rsidP="00840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华文楷体">
    <w:altName w:val="Arial Unicode MS"/>
    <w:charset w:val="50"/>
    <w:family w:val="auto"/>
    <w:pitch w:val="variable"/>
    <w:sig w:usb0="00000287" w:usb1="080F0000" w:usb2="0100040E" w:usb3="00000000" w:csb0="0004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C0" w:rsidRDefault="00266BC0" w:rsidP="00840099">
      <w:r>
        <w:separator/>
      </w:r>
    </w:p>
  </w:footnote>
  <w:footnote w:type="continuationSeparator" w:id="0">
    <w:p w:rsidR="00266BC0" w:rsidRDefault="00266BC0" w:rsidP="00840099">
      <w:r>
        <w:continuationSeparator/>
      </w:r>
    </w:p>
  </w:footnote>
  <w:footnote w:id="1">
    <w:p w:rsidR="00840099" w:rsidRPr="00681265" w:rsidRDefault="00840099">
      <w:pPr>
        <w:pStyle w:val="Notedebasdepage"/>
        <w:rPr>
          <w:rFonts w:ascii="Garamond" w:eastAsiaTheme="minorEastAsia" w:hAnsi="Garamond"/>
          <w:sz w:val="18"/>
          <w:szCs w:val="18"/>
        </w:rPr>
      </w:pPr>
      <w:r w:rsidRPr="00681265">
        <w:rPr>
          <w:rStyle w:val="Appelnotedebasdep"/>
          <w:rFonts w:ascii="Garamond" w:eastAsiaTheme="minorEastAsia" w:hAnsi="Garamond"/>
          <w:sz w:val="18"/>
          <w:szCs w:val="18"/>
        </w:rPr>
        <w:footnoteRef/>
      </w:r>
      <w:r w:rsidRPr="00681265">
        <w:rPr>
          <w:rFonts w:ascii="Garamond" w:eastAsiaTheme="minorEastAsia" w:hAnsi="Garamond"/>
          <w:sz w:val="18"/>
          <w:szCs w:val="18"/>
        </w:rPr>
        <w:t xml:space="preserve"> Gong Sui</w:t>
      </w:r>
      <w:r w:rsidR="001F62EF" w:rsidRPr="00681265">
        <w:rPr>
          <w:rFonts w:ascii="Garamond" w:eastAsiaTheme="minorEastAsia" w:hAnsi="Garamond"/>
          <w:sz w:val="18"/>
          <w:szCs w:val="18"/>
        </w:rPr>
        <w:t xml:space="preserve"> </w:t>
      </w:r>
      <w:r w:rsidR="001F62EF" w:rsidRPr="00681265">
        <w:rPr>
          <w:rFonts w:ascii="Garamond" w:eastAsiaTheme="minorEastAsia" w:hAnsiTheme="minorEastAsia" w:cs="Times New Roman"/>
          <w:sz w:val="18"/>
          <w:szCs w:val="18"/>
        </w:rPr>
        <w:t>龔遂</w:t>
      </w:r>
      <w:r w:rsidRPr="00681265">
        <w:rPr>
          <w:rFonts w:ascii="Garamond" w:eastAsiaTheme="minorEastAsia" w:hAnsi="Garamond"/>
          <w:sz w:val="18"/>
          <w:szCs w:val="18"/>
        </w:rPr>
        <w:t> (</w:t>
      </w:r>
      <w:proofErr w:type="spellStart"/>
      <w:r w:rsidRPr="00681265">
        <w:rPr>
          <w:rFonts w:ascii="Garamond" w:eastAsiaTheme="minorEastAsia" w:hAnsi="Garamond"/>
          <w:sz w:val="18"/>
          <w:szCs w:val="18"/>
        </w:rPr>
        <w:t>d.i</w:t>
      </w:r>
      <w:proofErr w:type="spellEnd"/>
      <w:r w:rsidRPr="00681265">
        <w:rPr>
          <w:rFonts w:ascii="Garamond" w:eastAsiaTheme="minorEastAsia" w:hAnsi="Garamond"/>
          <w:sz w:val="18"/>
          <w:szCs w:val="18"/>
        </w:rPr>
        <w:t>.)</w:t>
      </w:r>
      <w:r w:rsidR="00F63445" w:rsidRPr="00681265">
        <w:rPr>
          <w:rFonts w:ascii="Garamond" w:eastAsiaTheme="minorEastAsia" w:hAnsi="Garamond"/>
          <w:sz w:val="18"/>
          <w:szCs w:val="18"/>
        </w:rPr>
        <w:t> : préfet, sous le règne de l’empereur Xuan</w:t>
      </w:r>
      <w:r w:rsidR="00F63445" w:rsidRPr="00681265">
        <w:rPr>
          <w:rFonts w:ascii="Garamond" w:eastAsiaTheme="minorEastAsia" w:hAnsiTheme="minorEastAsia"/>
          <w:sz w:val="18"/>
          <w:szCs w:val="18"/>
        </w:rPr>
        <w:t>漢宣帝</w:t>
      </w:r>
      <w:r w:rsidR="00F63445" w:rsidRPr="00681265">
        <w:rPr>
          <w:rFonts w:ascii="Garamond" w:eastAsiaTheme="minorEastAsia" w:hAnsi="Garamond"/>
          <w:sz w:val="18"/>
          <w:szCs w:val="18"/>
        </w:rPr>
        <w:t xml:space="preserve"> (74-49), de Bohai</w:t>
      </w:r>
      <w:r w:rsidR="001F62EF" w:rsidRPr="00681265">
        <w:rPr>
          <w:rFonts w:ascii="Garamond" w:eastAsiaTheme="minorEastAsia" w:hAnsi="Garamond"/>
          <w:sz w:val="18"/>
          <w:szCs w:val="18"/>
        </w:rPr>
        <w:t xml:space="preserve"> </w:t>
      </w:r>
      <w:r w:rsidR="001F62EF" w:rsidRPr="00681265">
        <w:rPr>
          <w:rFonts w:ascii="Garamond" w:eastAsiaTheme="minorEastAsia" w:hAnsiTheme="minorEastAsia"/>
          <w:sz w:val="18"/>
          <w:szCs w:val="18"/>
        </w:rPr>
        <w:t>渤海</w:t>
      </w:r>
      <w:r w:rsidR="001F62EF" w:rsidRPr="00681265">
        <w:rPr>
          <w:rFonts w:ascii="Garamond" w:eastAsiaTheme="minorEastAsia" w:hAnsi="Garamond"/>
          <w:sz w:val="18"/>
          <w:szCs w:val="18"/>
        </w:rPr>
        <w:t xml:space="preserve"> au Hebei</w:t>
      </w:r>
      <w:r w:rsidR="00F63445" w:rsidRPr="00681265">
        <w:rPr>
          <w:rFonts w:ascii="Garamond" w:eastAsiaTheme="minorEastAsia" w:hAnsi="Garamond"/>
          <w:sz w:val="18"/>
          <w:szCs w:val="18"/>
        </w:rPr>
        <w:t xml:space="preserve"> où il élimine le brigandage et encourage les travaux des champs ; Huang Ba</w:t>
      </w:r>
      <w:r w:rsidR="001F62EF" w:rsidRPr="00681265">
        <w:rPr>
          <w:rFonts w:ascii="Garamond" w:eastAsiaTheme="minorEastAsia" w:hAnsi="Garamond"/>
          <w:sz w:val="18"/>
          <w:szCs w:val="18"/>
        </w:rPr>
        <w:t xml:space="preserve"> </w:t>
      </w:r>
      <w:r w:rsidR="001F62EF" w:rsidRPr="00681265">
        <w:rPr>
          <w:rFonts w:ascii="Garamond" w:eastAsiaTheme="minorEastAsia" w:hAnsiTheme="minorEastAsia" w:cs="Times New Roman"/>
          <w:sz w:val="18"/>
          <w:szCs w:val="18"/>
        </w:rPr>
        <w:t>黃霸</w:t>
      </w:r>
      <w:r w:rsidR="001F62EF" w:rsidRPr="00681265">
        <w:rPr>
          <w:rFonts w:ascii="Garamond" w:eastAsiaTheme="minorEastAsia" w:hAnsi="Garamond" w:cs="Times New Roman"/>
          <w:sz w:val="18"/>
          <w:szCs w:val="18"/>
        </w:rPr>
        <w:t xml:space="preserve"> </w:t>
      </w:r>
      <w:r w:rsidR="00F63445" w:rsidRPr="00681265">
        <w:rPr>
          <w:rFonts w:ascii="Garamond" w:eastAsiaTheme="minorEastAsia" w:hAnsi="Garamond"/>
          <w:sz w:val="18"/>
          <w:szCs w:val="18"/>
        </w:rPr>
        <w:t>(</w:t>
      </w:r>
      <w:r w:rsidR="00F63445" w:rsidRPr="00681265">
        <w:rPr>
          <w:rFonts w:ascii="Garamond" w:eastAsiaTheme="minorEastAsia" w:hAnsi="Garamond" w:cs="Times New Roman"/>
          <w:sz w:val="18"/>
          <w:szCs w:val="18"/>
        </w:rPr>
        <w:t>†</w:t>
      </w:r>
      <w:r w:rsidR="00F63445" w:rsidRPr="00681265">
        <w:rPr>
          <w:rFonts w:ascii="Garamond" w:eastAsiaTheme="minorEastAsia" w:hAnsi="Garamond"/>
          <w:sz w:val="18"/>
          <w:szCs w:val="18"/>
        </w:rPr>
        <w:t xml:space="preserve"> 51 </w:t>
      </w:r>
      <w:proofErr w:type="gramStart"/>
      <w:r w:rsidR="00F63445" w:rsidRPr="00681265">
        <w:rPr>
          <w:rFonts w:ascii="Garamond" w:eastAsiaTheme="minorEastAsia" w:hAnsi="Garamond"/>
          <w:sz w:val="18"/>
          <w:szCs w:val="18"/>
        </w:rPr>
        <w:t>av .</w:t>
      </w:r>
      <w:proofErr w:type="gramEnd"/>
      <w:r w:rsidR="00F63445" w:rsidRPr="00681265">
        <w:rPr>
          <w:rFonts w:ascii="Garamond" w:eastAsiaTheme="minorEastAsia" w:hAnsi="Garamond"/>
          <w:sz w:val="18"/>
          <w:szCs w:val="18"/>
        </w:rPr>
        <w:t xml:space="preserve"> J.-C.) : </w:t>
      </w:r>
      <w:proofErr w:type="gramStart"/>
      <w:r w:rsidR="00F63445" w:rsidRPr="00681265">
        <w:rPr>
          <w:rFonts w:ascii="Garamond" w:eastAsiaTheme="minorEastAsia" w:hAnsi="Garamond"/>
          <w:sz w:val="18"/>
          <w:szCs w:val="18"/>
        </w:rPr>
        <w:t>juge</w:t>
      </w:r>
      <w:proofErr w:type="gramEnd"/>
      <w:r w:rsidR="00F63445" w:rsidRPr="00681265">
        <w:rPr>
          <w:rFonts w:ascii="Garamond" w:eastAsiaTheme="minorEastAsia" w:hAnsi="Garamond"/>
          <w:sz w:val="18"/>
          <w:szCs w:val="18"/>
        </w:rPr>
        <w:t xml:space="preserve"> puis ministre sous </w:t>
      </w:r>
      <w:r w:rsidR="001F62EF" w:rsidRPr="00681265">
        <w:rPr>
          <w:rFonts w:ascii="Garamond" w:eastAsiaTheme="minorEastAsia" w:hAnsi="Garamond"/>
          <w:sz w:val="18"/>
          <w:szCs w:val="18"/>
        </w:rPr>
        <w:t xml:space="preserve">l’empereur </w:t>
      </w:r>
      <w:r w:rsidR="00F63445" w:rsidRPr="00681265">
        <w:rPr>
          <w:rFonts w:ascii="Garamond" w:eastAsiaTheme="minorEastAsia" w:hAnsi="Garamond"/>
          <w:sz w:val="18"/>
          <w:szCs w:val="18"/>
        </w:rPr>
        <w:t xml:space="preserve">Xuan.  </w:t>
      </w:r>
    </w:p>
  </w:footnote>
  <w:footnote w:id="2">
    <w:p w:rsidR="00F63445" w:rsidRPr="00681265" w:rsidRDefault="00F63445">
      <w:pPr>
        <w:pStyle w:val="Notedebasdepage"/>
        <w:rPr>
          <w:rFonts w:ascii="Garamond" w:eastAsiaTheme="minorEastAsia" w:hAnsi="Garamond"/>
          <w:sz w:val="18"/>
          <w:szCs w:val="18"/>
        </w:rPr>
      </w:pPr>
      <w:r w:rsidRPr="00681265">
        <w:rPr>
          <w:rStyle w:val="Appelnotedebasdep"/>
          <w:rFonts w:ascii="Garamond" w:eastAsiaTheme="minorEastAsia" w:hAnsi="Garamond"/>
          <w:sz w:val="18"/>
          <w:szCs w:val="18"/>
        </w:rPr>
        <w:footnoteRef/>
      </w:r>
      <w:r w:rsidRPr="00681265">
        <w:rPr>
          <w:rFonts w:ascii="Garamond" w:eastAsiaTheme="minorEastAsia" w:hAnsi="Garamond"/>
          <w:sz w:val="18"/>
          <w:szCs w:val="18"/>
        </w:rPr>
        <w:t xml:space="preserve"> </w:t>
      </w:r>
      <w:proofErr w:type="spellStart"/>
      <w:r w:rsidRPr="00681265">
        <w:rPr>
          <w:rFonts w:ascii="Garamond" w:eastAsiaTheme="minorEastAsia" w:hAnsi="Garamond"/>
          <w:sz w:val="18"/>
          <w:szCs w:val="18"/>
        </w:rPr>
        <w:t>Shao</w:t>
      </w:r>
      <w:proofErr w:type="spellEnd"/>
      <w:r w:rsidRPr="00681265">
        <w:rPr>
          <w:rFonts w:ascii="Garamond" w:eastAsiaTheme="minorEastAsia" w:hAnsi="Garamond"/>
          <w:sz w:val="18"/>
          <w:szCs w:val="18"/>
        </w:rPr>
        <w:t xml:space="preserve"> </w:t>
      </w:r>
      <w:proofErr w:type="spellStart"/>
      <w:r w:rsidRPr="00681265">
        <w:rPr>
          <w:rFonts w:ascii="Garamond" w:eastAsiaTheme="minorEastAsia" w:hAnsi="Garamond"/>
          <w:sz w:val="18"/>
          <w:szCs w:val="18"/>
        </w:rPr>
        <w:t>Xinchen</w:t>
      </w:r>
      <w:proofErr w:type="spellEnd"/>
      <w:r w:rsidR="001F62EF" w:rsidRPr="00681265">
        <w:rPr>
          <w:rFonts w:ascii="Garamond" w:eastAsiaTheme="minorEastAsia" w:hAnsi="Garamond"/>
          <w:sz w:val="18"/>
          <w:szCs w:val="18"/>
        </w:rPr>
        <w:t xml:space="preserve"> </w:t>
      </w:r>
      <w:r w:rsidR="001F62EF" w:rsidRPr="00681265">
        <w:rPr>
          <w:rFonts w:ascii="Garamond" w:eastAsiaTheme="minorEastAsia" w:hAnsiTheme="minorEastAsia" w:cs="Times New Roman"/>
          <w:sz w:val="18"/>
          <w:szCs w:val="18"/>
          <w:shd w:val="clear" w:color="auto" w:fill="FFFFFF"/>
        </w:rPr>
        <w:t>召信臣</w:t>
      </w:r>
      <w:r w:rsidR="001F62EF" w:rsidRPr="00681265">
        <w:rPr>
          <w:rFonts w:ascii="Garamond" w:eastAsiaTheme="minorEastAsia" w:hAnsi="Garamond" w:cs="Times New Roman"/>
          <w:sz w:val="18"/>
          <w:szCs w:val="18"/>
          <w:shd w:val="clear" w:color="auto" w:fill="FFFFFF"/>
        </w:rPr>
        <w:t xml:space="preserve"> </w:t>
      </w:r>
      <w:r w:rsidR="001F62EF" w:rsidRPr="00681265">
        <w:rPr>
          <w:rFonts w:ascii="Garamond" w:eastAsiaTheme="minorEastAsia" w:hAnsi="Garamond"/>
          <w:sz w:val="18"/>
          <w:szCs w:val="18"/>
        </w:rPr>
        <w:t xml:space="preserve">(48-33 av. J.-C.) </w:t>
      </w:r>
      <w:r w:rsidRPr="00681265">
        <w:rPr>
          <w:rFonts w:ascii="Garamond" w:eastAsiaTheme="minorEastAsia" w:hAnsi="Garamond"/>
          <w:sz w:val="18"/>
          <w:szCs w:val="18"/>
        </w:rPr>
        <w:t xml:space="preserve"> </w:t>
      </w:r>
      <w:proofErr w:type="gramStart"/>
      <w:r w:rsidRPr="00681265">
        <w:rPr>
          <w:rFonts w:ascii="Garamond" w:eastAsiaTheme="minorEastAsia" w:hAnsi="Garamond"/>
          <w:sz w:val="18"/>
          <w:szCs w:val="18"/>
        </w:rPr>
        <w:t>et</w:t>
      </w:r>
      <w:proofErr w:type="gramEnd"/>
      <w:r w:rsidRPr="00681265">
        <w:rPr>
          <w:rFonts w:ascii="Garamond" w:eastAsiaTheme="minorEastAsia" w:hAnsi="Garamond"/>
          <w:sz w:val="18"/>
          <w:szCs w:val="18"/>
        </w:rPr>
        <w:t xml:space="preserve"> Du </w:t>
      </w:r>
      <w:proofErr w:type="spellStart"/>
      <w:r w:rsidRPr="00681265">
        <w:rPr>
          <w:rFonts w:ascii="Garamond" w:eastAsiaTheme="minorEastAsia" w:hAnsi="Garamond"/>
          <w:sz w:val="18"/>
          <w:szCs w:val="18"/>
        </w:rPr>
        <w:t>Shi</w:t>
      </w:r>
      <w:proofErr w:type="spellEnd"/>
      <w:r w:rsidR="001F62EF" w:rsidRPr="00681265">
        <w:rPr>
          <w:rFonts w:ascii="Garamond" w:eastAsiaTheme="minorEastAsia" w:hAnsi="Garamond"/>
          <w:sz w:val="18"/>
          <w:szCs w:val="18"/>
        </w:rPr>
        <w:t xml:space="preserve"> </w:t>
      </w:r>
      <w:r w:rsidR="001F62EF" w:rsidRPr="00681265">
        <w:rPr>
          <w:rFonts w:ascii="Garamond" w:eastAsiaTheme="minorEastAsia" w:hAnsiTheme="minorEastAsia" w:cs="Times New Roman"/>
          <w:sz w:val="18"/>
          <w:szCs w:val="18"/>
        </w:rPr>
        <w:t>杜詩</w:t>
      </w:r>
      <w:r w:rsidR="001F62EF" w:rsidRPr="00681265">
        <w:rPr>
          <w:rFonts w:ascii="Garamond" w:eastAsiaTheme="minorEastAsia" w:hAnsi="Garamond" w:cs="Times New Roman"/>
          <w:sz w:val="18"/>
          <w:szCs w:val="18"/>
        </w:rPr>
        <w:t xml:space="preserve"> </w:t>
      </w:r>
      <w:r w:rsidR="001F62EF" w:rsidRPr="00681265">
        <w:rPr>
          <w:rFonts w:ascii="Garamond" w:eastAsiaTheme="minorEastAsia" w:hAnsi="Garamond"/>
          <w:sz w:val="18"/>
          <w:szCs w:val="18"/>
        </w:rPr>
        <w:t xml:space="preserve">( ?-38), ministres respectivement des Han Antérieurs et Postérieurs, tous deux préfets de Nanyang </w:t>
      </w:r>
      <w:r w:rsidR="001F62EF" w:rsidRPr="00681265">
        <w:rPr>
          <w:rFonts w:ascii="Garamond" w:eastAsiaTheme="minorEastAsia" w:hAnsiTheme="minorEastAsia"/>
          <w:sz w:val="18"/>
          <w:szCs w:val="18"/>
        </w:rPr>
        <w:t>南陽</w:t>
      </w:r>
      <w:r w:rsidR="001F62EF" w:rsidRPr="00681265">
        <w:rPr>
          <w:rFonts w:ascii="Garamond" w:eastAsiaTheme="minorEastAsia" w:hAnsi="Garamond"/>
          <w:sz w:val="18"/>
          <w:szCs w:val="18"/>
        </w:rPr>
        <w:t xml:space="preserve"> au Henan.</w:t>
      </w:r>
    </w:p>
  </w:footnote>
  <w:footnote w:id="3">
    <w:p w:rsidR="00983268" w:rsidRPr="00983268" w:rsidRDefault="00983268">
      <w:pPr>
        <w:pStyle w:val="Notedebasdepage"/>
      </w:pPr>
      <w:r w:rsidRPr="00681265">
        <w:rPr>
          <w:rStyle w:val="Appelnotedebasdep"/>
          <w:rFonts w:ascii="Garamond" w:eastAsiaTheme="minorEastAsia" w:hAnsi="Garamond"/>
          <w:sz w:val="18"/>
          <w:szCs w:val="18"/>
        </w:rPr>
        <w:footnoteRef/>
      </w:r>
      <w:r w:rsidRPr="00681265">
        <w:rPr>
          <w:rFonts w:ascii="Garamond" w:eastAsiaTheme="minorEastAsia" w:hAnsi="Garamond"/>
          <w:sz w:val="18"/>
          <w:szCs w:val="18"/>
        </w:rPr>
        <w:t xml:space="preserve"> Fang : Fang </w:t>
      </w:r>
      <w:proofErr w:type="spellStart"/>
      <w:r w:rsidRPr="00681265">
        <w:rPr>
          <w:rFonts w:ascii="Garamond" w:eastAsiaTheme="minorEastAsia" w:hAnsi="Garamond"/>
          <w:sz w:val="18"/>
          <w:szCs w:val="18"/>
        </w:rPr>
        <w:t>Xuanling</w:t>
      </w:r>
      <w:proofErr w:type="spellEnd"/>
      <w:r w:rsidRPr="00681265">
        <w:rPr>
          <w:rFonts w:ascii="Garamond" w:eastAsiaTheme="minorEastAsia" w:hAnsi="Garamond"/>
          <w:sz w:val="18"/>
          <w:szCs w:val="18"/>
        </w:rPr>
        <w:fldChar w:fldCharType="begin"/>
      </w:r>
      <w:r w:rsidRPr="00681265">
        <w:rPr>
          <w:rFonts w:ascii="Garamond" w:eastAsiaTheme="minorEastAsia" w:hAnsi="Garamond"/>
          <w:sz w:val="18"/>
          <w:szCs w:val="18"/>
        </w:rPr>
        <w:instrText>HYPERLINK "http://so.gushiwen.org/author_2134.aspx" \t "_blank"</w:instrText>
      </w:r>
      <w:r w:rsidRPr="00681265">
        <w:rPr>
          <w:rFonts w:ascii="Garamond" w:eastAsiaTheme="minorEastAsia" w:hAnsi="Garamond"/>
          <w:sz w:val="18"/>
          <w:szCs w:val="18"/>
        </w:rPr>
        <w:fldChar w:fldCharType="separate"/>
      </w:r>
      <w:r w:rsidRPr="00681265">
        <w:rPr>
          <w:rStyle w:val="Lienhypertexte"/>
          <w:rFonts w:ascii="Garamond" w:eastAsiaTheme="minorEastAsia" w:hAnsiTheme="minorEastAsia" w:cs="Times New Roman"/>
          <w:color w:val="auto"/>
          <w:sz w:val="18"/>
          <w:szCs w:val="18"/>
          <w:u w:val="none"/>
        </w:rPr>
        <w:t>房玄龄</w:t>
      </w:r>
      <w:r w:rsidRPr="00681265">
        <w:rPr>
          <w:rFonts w:ascii="Garamond" w:eastAsiaTheme="minorEastAsia" w:hAnsi="Garamond"/>
          <w:sz w:val="18"/>
          <w:szCs w:val="18"/>
        </w:rPr>
        <w:fldChar w:fldCharType="end"/>
      </w:r>
      <w:r w:rsidRPr="00681265">
        <w:rPr>
          <w:rFonts w:ascii="Garamond" w:eastAsiaTheme="minorEastAsia" w:hAnsi="Garamond"/>
          <w:sz w:val="18"/>
          <w:szCs w:val="18"/>
        </w:rPr>
        <w:t xml:space="preserve"> (579-648), </w:t>
      </w:r>
      <w:proofErr w:type="spellStart"/>
      <w:r w:rsidRPr="00681265">
        <w:rPr>
          <w:rFonts w:ascii="Garamond" w:eastAsiaTheme="minorEastAsia" w:hAnsi="Garamond"/>
          <w:i/>
          <w:sz w:val="18"/>
          <w:szCs w:val="18"/>
        </w:rPr>
        <w:t>jinshi</w:t>
      </w:r>
      <w:proofErr w:type="spellEnd"/>
      <w:r w:rsidRPr="00681265">
        <w:rPr>
          <w:rFonts w:ascii="Garamond" w:eastAsiaTheme="minorEastAsia" w:hAnsi="Garamond"/>
          <w:sz w:val="18"/>
          <w:szCs w:val="18"/>
        </w:rPr>
        <w:t xml:space="preserve"> sous les Sui, aide Li </w:t>
      </w:r>
      <w:proofErr w:type="spellStart"/>
      <w:r w:rsidRPr="00681265">
        <w:rPr>
          <w:rFonts w:ascii="Garamond" w:eastAsiaTheme="minorEastAsia" w:hAnsi="Garamond"/>
          <w:sz w:val="18"/>
          <w:szCs w:val="18"/>
        </w:rPr>
        <w:t>Shimin</w:t>
      </w:r>
      <w:proofErr w:type="spellEnd"/>
      <w:r w:rsidRPr="00681265">
        <w:rPr>
          <w:rFonts w:ascii="Garamond" w:eastAsiaTheme="minorEastAsia" w:hAnsi="Garamond"/>
          <w:sz w:val="18"/>
          <w:szCs w:val="18"/>
        </w:rPr>
        <w:t xml:space="preserve"> </w:t>
      </w:r>
      <w:r w:rsidRPr="00681265">
        <w:rPr>
          <w:rFonts w:ascii="Garamond" w:eastAsiaTheme="minorEastAsia" w:hAnsiTheme="minorEastAsia"/>
          <w:sz w:val="18"/>
          <w:szCs w:val="18"/>
        </w:rPr>
        <w:t>李世民</w:t>
      </w:r>
      <w:r w:rsidRPr="00681265">
        <w:rPr>
          <w:rFonts w:ascii="Garamond" w:eastAsiaTheme="minorEastAsia" w:hAnsi="Garamond"/>
          <w:sz w:val="18"/>
          <w:szCs w:val="18"/>
        </w:rPr>
        <w:t xml:space="preserve"> à accéder au pouvoir ; Wei : Wei Zheng </w:t>
      </w:r>
      <w:hyperlink r:id="rId1" w:tgtFrame="_blank" w:history="1">
        <w:r w:rsidRPr="00681265">
          <w:rPr>
            <w:rStyle w:val="Lienhypertexte"/>
            <w:rFonts w:ascii="Garamond" w:eastAsiaTheme="minorEastAsia" w:hAnsiTheme="minorEastAsia" w:cs="Times New Roman"/>
            <w:color w:val="auto"/>
            <w:sz w:val="18"/>
            <w:szCs w:val="18"/>
            <w:u w:val="none"/>
          </w:rPr>
          <w:t>魏征</w:t>
        </w:r>
      </w:hyperlink>
      <w:r w:rsidRPr="00681265">
        <w:rPr>
          <w:rFonts w:ascii="Garamond" w:eastAsiaTheme="minorEastAsia" w:hAnsi="Garamond"/>
          <w:sz w:val="18"/>
          <w:szCs w:val="18"/>
        </w:rPr>
        <w:t xml:space="preserve"> (580-643), conseiller de Tang </w:t>
      </w:r>
      <w:proofErr w:type="spellStart"/>
      <w:r w:rsidRPr="00681265">
        <w:rPr>
          <w:rFonts w:ascii="Garamond" w:eastAsiaTheme="minorEastAsia" w:hAnsi="Garamond"/>
          <w:sz w:val="18"/>
          <w:szCs w:val="18"/>
        </w:rPr>
        <w:t>Taizong</w:t>
      </w:r>
      <w:proofErr w:type="spellEnd"/>
      <w:r w:rsidRPr="00681265">
        <w:rPr>
          <w:rFonts w:ascii="Garamond" w:eastAsiaTheme="minorEastAsia" w:hAnsi="Garamond"/>
          <w:sz w:val="18"/>
          <w:szCs w:val="18"/>
        </w:rPr>
        <w:t xml:space="preserve"> </w:t>
      </w:r>
      <w:r w:rsidRPr="00681265">
        <w:rPr>
          <w:rFonts w:ascii="Garamond" w:eastAsiaTheme="minorEastAsia" w:hAnsiTheme="minorEastAsia"/>
          <w:sz w:val="18"/>
          <w:szCs w:val="18"/>
        </w:rPr>
        <w:t>唐太宗</w:t>
      </w:r>
      <w:r w:rsidRPr="00681265">
        <w:rPr>
          <w:rFonts w:ascii="Garamond" w:eastAsiaTheme="minorEastAsia" w:hAnsi="Garamond"/>
          <w:sz w:val="18"/>
          <w:szCs w:val="18"/>
        </w:rPr>
        <w:t>. Voir aussi le « </w:t>
      </w:r>
      <w:proofErr w:type="spellStart"/>
      <w:r w:rsidRPr="00681265">
        <w:rPr>
          <w:rFonts w:ascii="Garamond" w:eastAsiaTheme="minorEastAsia" w:hAnsi="Garamond"/>
          <w:sz w:val="18"/>
          <w:szCs w:val="18"/>
        </w:rPr>
        <w:t>Dailou</w:t>
      </w:r>
      <w:proofErr w:type="spellEnd"/>
      <w:r w:rsidRPr="00681265">
        <w:rPr>
          <w:rFonts w:ascii="Garamond" w:eastAsiaTheme="minorEastAsia" w:hAnsi="Garamond"/>
          <w:sz w:val="18"/>
          <w:szCs w:val="18"/>
        </w:rPr>
        <w:t xml:space="preserve"> yuan </w:t>
      </w:r>
      <w:proofErr w:type="spellStart"/>
      <w:r w:rsidRPr="00681265">
        <w:rPr>
          <w:rFonts w:ascii="Garamond" w:eastAsiaTheme="minorEastAsia" w:hAnsi="Garamond"/>
          <w:sz w:val="18"/>
          <w:szCs w:val="18"/>
        </w:rPr>
        <w:t>ji</w:t>
      </w:r>
      <w:proofErr w:type="spellEnd"/>
      <w:r w:rsidRPr="00681265">
        <w:rPr>
          <w:rFonts w:ascii="Garamond" w:eastAsiaTheme="minorEastAsia" w:hAnsi="Garamond"/>
          <w:sz w:val="18"/>
          <w:szCs w:val="18"/>
        </w:rPr>
        <w:t xml:space="preserve">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320D7"/>
    <w:multiLevelType w:val="hybridMultilevel"/>
    <w:tmpl w:val="861EAE6E"/>
    <w:lvl w:ilvl="0" w:tplc="8BDABFAC">
      <w:numFmt w:val="bullet"/>
      <w:pStyle w:val="sources"/>
      <w:lvlText w:val="-"/>
      <w:lvlJc w:val="left"/>
      <w:pPr>
        <w:ind w:left="660" w:hanging="420"/>
      </w:pPr>
      <w:rPr>
        <w:rFonts w:ascii="Times New Roman" w:eastAsia="SimSun" w:hAnsi="Times New Roman" w:cs="Times New Roman" w:hint="default"/>
        <w:w w:val="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C7254"/>
    <w:rsid w:val="000459B5"/>
    <w:rsid w:val="0006451B"/>
    <w:rsid w:val="00087376"/>
    <w:rsid w:val="000B16DA"/>
    <w:rsid w:val="000F46C1"/>
    <w:rsid w:val="00123E65"/>
    <w:rsid w:val="001F5165"/>
    <w:rsid w:val="001F62EF"/>
    <w:rsid w:val="0020043D"/>
    <w:rsid w:val="00266BC0"/>
    <w:rsid w:val="004535F2"/>
    <w:rsid w:val="00645CE5"/>
    <w:rsid w:val="00681265"/>
    <w:rsid w:val="006C47D9"/>
    <w:rsid w:val="00840099"/>
    <w:rsid w:val="00873A95"/>
    <w:rsid w:val="009420C6"/>
    <w:rsid w:val="00983268"/>
    <w:rsid w:val="00A1357D"/>
    <w:rsid w:val="00A23F23"/>
    <w:rsid w:val="00AE79D9"/>
    <w:rsid w:val="00B84388"/>
    <w:rsid w:val="00BD6C01"/>
    <w:rsid w:val="00BF2DCB"/>
    <w:rsid w:val="00D02B54"/>
    <w:rsid w:val="00D53EF9"/>
    <w:rsid w:val="00D6157A"/>
    <w:rsid w:val="00D8508B"/>
    <w:rsid w:val="00DC7BA5"/>
    <w:rsid w:val="00EC7254"/>
    <w:rsid w:val="00F1649C"/>
    <w:rsid w:val="00F63445"/>
    <w:rsid w:val="00FE45F9"/>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fr-FR" w:eastAsia="zh-CN"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C1"/>
    <w:rPr>
      <w:rFonts w:ascii="Times New Roman" w:hAnsi="Times New Roman"/>
      <w:sz w:val="24"/>
    </w:rPr>
  </w:style>
  <w:style w:type="paragraph" w:styleId="Titre1">
    <w:name w:val="heading 1"/>
    <w:basedOn w:val="Normal"/>
    <w:next w:val="Normal"/>
    <w:link w:val="Titre1Car"/>
    <w:uiPriority w:val="9"/>
    <w:qFormat/>
    <w:rsid w:val="000F4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0F46C1"/>
    <w:pPr>
      <w:keepNext/>
      <w:spacing w:before="240" w:after="60"/>
      <w:ind w:firstLine="0"/>
      <w:jc w:val="left"/>
      <w:outlineLvl w:val="2"/>
    </w:pPr>
    <w:rPr>
      <w:rFonts w:ascii="Arial" w:eastAsia="Arial Unicode MS"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46C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semiHidden/>
    <w:rsid w:val="000F46C1"/>
    <w:rPr>
      <w:rFonts w:ascii="Arial" w:eastAsia="Arial Unicode MS" w:hAnsi="Arial" w:cs="Arial"/>
      <w:b/>
      <w:bCs/>
      <w:sz w:val="26"/>
      <w:szCs w:val="26"/>
      <w:lang w:eastAsia="fr-FR"/>
    </w:rPr>
  </w:style>
  <w:style w:type="paragraph" w:styleId="Titre">
    <w:name w:val="Title"/>
    <w:basedOn w:val="Normal"/>
    <w:link w:val="TitreCar"/>
    <w:uiPriority w:val="99"/>
    <w:qFormat/>
    <w:rsid w:val="000F46C1"/>
    <w:pPr>
      <w:ind w:firstLine="0"/>
      <w:jc w:val="center"/>
    </w:pPr>
    <w:rPr>
      <w:rFonts w:eastAsia="Times New Roman" w:cs="Times New Roman"/>
      <w:szCs w:val="24"/>
      <w:u w:val="single"/>
      <w:lang w:eastAsia="fr-FR"/>
    </w:rPr>
  </w:style>
  <w:style w:type="character" w:customStyle="1" w:styleId="TitreCar">
    <w:name w:val="Titre Car"/>
    <w:basedOn w:val="Policepardfaut"/>
    <w:link w:val="Titre"/>
    <w:uiPriority w:val="99"/>
    <w:rsid w:val="000F46C1"/>
    <w:rPr>
      <w:rFonts w:ascii="Times New Roman" w:eastAsia="Times New Roman" w:hAnsi="Times New Roman" w:cs="Times New Roman"/>
      <w:sz w:val="24"/>
      <w:szCs w:val="24"/>
      <w:u w:val="single"/>
      <w:lang w:eastAsia="fr-FR"/>
    </w:rPr>
  </w:style>
  <w:style w:type="character" w:styleId="lev">
    <w:name w:val="Strong"/>
    <w:basedOn w:val="Policepardfaut"/>
    <w:uiPriority w:val="22"/>
    <w:qFormat/>
    <w:rsid w:val="000F46C1"/>
    <w:rPr>
      <w:b/>
      <w:bCs/>
    </w:rPr>
  </w:style>
  <w:style w:type="paragraph" w:styleId="Paragraphedeliste">
    <w:name w:val="List Paragraph"/>
    <w:basedOn w:val="Normal"/>
    <w:uiPriority w:val="34"/>
    <w:qFormat/>
    <w:rsid w:val="000F46C1"/>
    <w:pPr>
      <w:ind w:left="720"/>
      <w:contextualSpacing/>
    </w:pPr>
  </w:style>
  <w:style w:type="paragraph" w:styleId="En-ttedetabledesmatires">
    <w:name w:val="TOC Heading"/>
    <w:basedOn w:val="Titre1"/>
    <w:next w:val="Normal"/>
    <w:uiPriority w:val="39"/>
    <w:semiHidden/>
    <w:unhideWhenUsed/>
    <w:qFormat/>
    <w:rsid w:val="000F46C1"/>
    <w:pPr>
      <w:spacing w:line="276" w:lineRule="auto"/>
      <w:ind w:firstLine="0"/>
      <w:jc w:val="left"/>
      <w:outlineLvl w:val="9"/>
    </w:pPr>
    <w:rPr>
      <w:lang w:eastAsia="en-US"/>
    </w:rPr>
  </w:style>
  <w:style w:type="paragraph" w:customStyle="1" w:styleId="poemes">
    <w:name w:val="poemes"/>
    <w:basedOn w:val="Normal"/>
    <w:uiPriority w:val="99"/>
    <w:qFormat/>
    <w:rsid w:val="000F46C1"/>
    <w:pPr>
      <w:snapToGrid w:val="0"/>
      <w:spacing w:line="304" w:lineRule="exact"/>
      <w:ind w:left="236" w:hangingChars="236" w:hanging="236"/>
      <w:jc w:val="left"/>
    </w:pPr>
    <w:rPr>
      <w:rFonts w:eastAsia="华文楷体" w:cs="Times New Roman"/>
      <w:sz w:val="20"/>
      <w:szCs w:val="20"/>
    </w:rPr>
  </w:style>
  <w:style w:type="paragraph" w:customStyle="1" w:styleId="sources">
    <w:name w:val="sources"/>
    <w:basedOn w:val="Normal"/>
    <w:uiPriority w:val="99"/>
    <w:qFormat/>
    <w:rsid w:val="000F46C1"/>
    <w:pPr>
      <w:widowControl w:val="0"/>
      <w:numPr>
        <w:numId w:val="1"/>
      </w:numPr>
      <w:adjustRightInd w:val="0"/>
      <w:snapToGrid w:val="0"/>
    </w:pPr>
    <w:rPr>
      <w:rFonts w:eastAsia="华文楷体" w:cs="Times New Roman"/>
      <w:sz w:val="16"/>
      <w:szCs w:val="20"/>
    </w:rPr>
  </w:style>
  <w:style w:type="paragraph" w:styleId="Notedebasdepage">
    <w:name w:val="footnote text"/>
    <w:basedOn w:val="Normal"/>
    <w:link w:val="NotedebasdepageCar"/>
    <w:uiPriority w:val="99"/>
    <w:semiHidden/>
    <w:unhideWhenUsed/>
    <w:rsid w:val="00840099"/>
    <w:rPr>
      <w:sz w:val="20"/>
      <w:szCs w:val="20"/>
    </w:rPr>
  </w:style>
  <w:style w:type="character" w:customStyle="1" w:styleId="NotedebasdepageCar">
    <w:name w:val="Note de bas de page Car"/>
    <w:basedOn w:val="Policepardfaut"/>
    <w:link w:val="Notedebasdepage"/>
    <w:uiPriority w:val="99"/>
    <w:semiHidden/>
    <w:rsid w:val="00840099"/>
    <w:rPr>
      <w:rFonts w:ascii="Times New Roman" w:hAnsi="Times New Roman"/>
      <w:sz w:val="20"/>
      <w:szCs w:val="20"/>
    </w:rPr>
  </w:style>
  <w:style w:type="character" w:styleId="Appelnotedebasdep">
    <w:name w:val="footnote reference"/>
    <w:basedOn w:val="Policepardfaut"/>
    <w:uiPriority w:val="99"/>
    <w:semiHidden/>
    <w:unhideWhenUsed/>
    <w:rsid w:val="00840099"/>
    <w:rPr>
      <w:vertAlign w:val="superscript"/>
    </w:rPr>
  </w:style>
  <w:style w:type="character" w:styleId="Lienhypertexte">
    <w:name w:val="Hyperlink"/>
    <w:basedOn w:val="Policepardfaut"/>
    <w:uiPriority w:val="99"/>
    <w:unhideWhenUsed/>
    <w:rsid w:val="009832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gushiwen.org/author_807.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B167-4421-49B4-99F0-B2C73E1A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Feuilllas</dc:creator>
  <cp:keywords/>
  <dc:description/>
  <cp:lastModifiedBy>Stéphane Feuilllas</cp:lastModifiedBy>
  <cp:revision>7</cp:revision>
  <dcterms:created xsi:type="dcterms:W3CDTF">2016-11-03T12:20:00Z</dcterms:created>
  <dcterms:modified xsi:type="dcterms:W3CDTF">2016-11-03T17:12:00Z</dcterms:modified>
</cp:coreProperties>
</file>