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F4F3B" w:rsidRPr="007F4F3B" w:rsidTr="007F4F3B">
        <w:tc>
          <w:tcPr>
            <w:tcW w:w="9206" w:type="dxa"/>
          </w:tcPr>
          <w:p w:rsidR="007F4F3B" w:rsidRPr="007F4F3B" w:rsidRDefault="007F4F3B" w:rsidP="007F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F3B">
              <w:rPr>
                <w:rFonts w:ascii="Times New Roman" w:hAnsi="Times New Roman" w:cs="Times New Roman"/>
                <w:b/>
              </w:rPr>
              <w:t>MESCLAM</w:t>
            </w:r>
          </w:p>
          <w:p w:rsidR="007F4F3B" w:rsidRDefault="007F4F3B" w:rsidP="007F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F3B">
              <w:rPr>
                <w:rFonts w:ascii="Times New Roman" w:hAnsi="Times New Roman" w:cs="Times New Roman"/>
                <w:b/>
              </w:rPr>
              <w:t>Mémoire de l’Esclavage – Amériques</w:t>
            </w:r>
          </w:p>
          <w:p w:rsidR="00845AF1" w:rsidRDefault="00845AF1" w:rsidP="00845AF1">
            <w:pPr>
              <w:jc w:val="center"/>
              <w:rPr>
                <w:rFonts w:ascii="Times New Roman" w:hAnsi="Times New Roman" w:cs="Times New Roman"/>
              </w:rPr>
            </w:pPr>
            <w:r w:rsidRPr="00845AF1">
              <w:rPr>
                <w:rFonts w:ascii="Times New Roman" w:hAnsi="Times New Roman" w:cs="Times New Roman"/>
              </w:rPr>
              <w:t xml:space="preserve">Atelier interdisciplinaire </w:t>
            </w:r>
          </w:p>
          <w:p w:rsidR="00845AF1" w:rsidRPr="00845AF1" w:rsidRDefault="00845AF1" w:rsidP="00845AF1">
            <w:pPr>
              <w:jc w:val="center"/>
              <w:rPr>
                <w:rFonts w:ascii="Times New Roman" w:hAnsi="Times New Roman" w:cs="Times New Roman"/>
              </w:rPr>
            </w:pPr>
            <w:r w:rsidRPr="00845AF1">
              <w:rPr>
                <w:rFonts w:ascii="Times New Roman" w:hAnsi="Times New Roman" w:cs="Times New Roman"/>
              </w:rPr>
              <w:t>(Anthropologie, Civilisation América</w:t>
            </w:r>
            <w:bookmarkStart w:id="0" w:name="_GoBack"/>
            <w:bookmarkEnd w:id="0"/>
            <w:r w:rsidRPr="00845AF1">
              <w:rPr>
                <w:rFonts w:ascii="Times New Roman" w:hAnsi="Times New Roman" w:cs="Times New Roman"/>
              </w:rPr>
              <w:t>ine, Histoire, Philosophie</w:t>
            </w:r>
            <w:r w:rsidR="00E414C7" w:rsidRPr="00845AF1">
              <w:rPr>
                <w:rFonts w:ascii="Times New Roman" w:hAnsi="Times New Roman" w:cs="Times New Roman"/>
              </w:rPr>
              <w:t>, Sociologie</w:t>
            </w:r>
            <w:r w:rsidRPr="00845AF1">
              <w:rPr>
                <w:rFonts w:ascii="Times New Roman" w:hAnsi="Times New Roman" w:cs="Times New Roman"/>
              </w:rPr>
              <w:t>)</w:t>
            </w:r>
          </w:p>
          <w:p w:rsidR="00845AF1" w:rsidRPr="007F4F3B" w:rsidRDefault="00845AF1" w:rsidP="007F4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F3B" w:rsidRPr="007F4F3B" w:rsidTr="007F4F3B">
        <w:tc>
          <w:tcPr>
            <w:tcW w:w="9206" w:type="dxa"/>
          </w:tcPr>
          <w:p w:rsidR="007F4F3B" w:rsidRPr="007F4F3B" w:rsidRDefault="007F4F3B">
            <w:pPr>
              <w:rPr>
                <w:rFonts w:ascii="Times New Roman" w:hAnsi="Times New Roman" w:cs="Times New Roman"/>
              </w:rPr>
            </w:pPr>
            <w:r w:rsidRPr="007F4F3B">
              <w:rPr>
                <w:rFonts w:ascii="Times New Roman" w:hAnsi="Times New Roman" w:cs="Times New Roman"/>
                <w:b/>
              </w:rPr>
              <w:t xml:space="preserve">Nom </w:t>
            </w:r>
            <w:r w:rsidR="005F0ED4">
              <w:rPr>
                <w:rFonts w:ascii="Times New Roman" w:hAnsi="Times New Roman" w:cs="Times New Roman"/>
                <w:b/>
              </w:rPr>
              <w:t xml:space="preserve"> </w:t>
            </w:r>
            <w:r w:rsidR="005F0ED4" w:rsidRPr="00BA704B">
              <w:rPr>
                <w:rFonts w:ascii="Times New Roman" w:hAnsi="Times New Roman" w:cs="Times New Roman"/>
                <w:b/>
                <w:color w:val="0070C0"/>
              </w:rPr>
              <w:t>DESSENS</w:t>
            </w:r>
          </w:p>
          <w:p w:rsidR="007F4F3B" w:rsidRPr="007F4F3B" w:rsidRDefault="007F4F3B">
            <w:pPr>
              <w:rPr>
                <w:rFonts w:ascii="Times New Roman" w:hAnsi="Times New Roman" w:cs="Times New Roman"/>
              </w:rPr>
            </w:pPr>
            <w:r w:rsidRPr="007F4F3B">
              <w:rPr>
                <w:rFonts w:ascii="Times New Roman" w:hAnsi="Times New Roman" w:cs="Times New Roman"/>
                <w:b/>
              </w:rPr>
              <w:t xml:space="preserve">Prénom </w:t>
            </w:r>
            <w:r w:rsidR="005F0ED4">
              <w:rPr>
                <w:rFonts w:ascii="Times New Roman" w:hAnsi="Times New Roman" w:cs="Times New Roman"/>
                <w:b/>
              </w:rPr>
              <w:t xml:space="preserve"> </w:t>
            </w:r>
            <w:r w:rsidR="005F0ED4" w:rsidRPr="00BA704B">
              <w:rPr>
                <w:rFonts w:ascii="Times New Roman" w:hAnsi="Times New Roman" w:cs="Times New Roman"/>
                <w:b/>
                <w:color w:val="0070C0"/>
              </w:rPr>
              <w:t>Nathalie</w:t>
            </w:r>
          </w:p>
          <w:p w:rsidR="007F4F3B" w:rsidRPr="007F4F3B" w:rsidRDefault="007F4F3B">
            <w:pPr>
              <w:rPr>
                <w:rFonts w:ascii="Times New Roman" w:hAnsi="Times New Roman" w:cs="Times New Roman"/>
              </w:rPr>
            </w:pPr>
          </w:p>
          <w:p w:rsidR="007F4F3B" w:rsidRPr="007F4F3B" w:rsidRDefault="005F0E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725156" cy="862013"/>
                  <wp:effectExtent l="19050" t="0" r="0" b="0"/>
                  <wp:docPr id="1" name="Image 1" descr="C:\Users\Nathalie\Pictures\Prof\N_Dess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lie\Pictures\Prof\N_Dess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97" cy="86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F3B" w:rsidRPr="007F4F3B" w:rsidTr="007F4F3B">
        <w:tc>
          <w:tcPr>
            <w:tcW w:w="9206" w:type="dxa"/>
          </w:tcPr>
          <w:p w:rsidR="007F4F3B" w:rsidRPr="007F4F3B" w:rsidRDefault="007F4F3B">
            <w:pPr>
              <w:rPr>
                <w:rFonts w:ascii="Times New Roman" w:hAnsi="Times New Roman" w:cs="Times New Roman"/>
              </w:rPr>
            </w:pPr>
            <w:r w:rsidRPr="007F4F3B">
              <w:rPr>
                <w:rFonts w:ascii="Times New Roman" w:hAnsi="Times New Roman" w:cs="Times New Roman"/>
                <w:b/>
              </w:rPr>
              <w:t xml:space="preserve">Discipline </w:t>
            </w:r>
            <w:r w:rsidR="005F0ED4" w:rsidRPr="00BA704B">
              <w:rPr>
                <w:rFonts w:ascii="Times New Roman" w:hAnsi="Times New Roman" w:cs="Times New Roman"/>
                <w:b/>
                <w:color w:val="0070C0"/>
              </w:rPr>
              <w:t>Etudes Anglophones</w:t>
            </w:r>
          </w:p>
        </w:tc>
      </w:tr>
      <w:tr w:rsidR="007F4F3B" w:rsidRPr="007F4F3B" w:rsidTr="007F4F3B">
        <w:tc>
          <w:tcPr>
            <w:tcW w:w="9206" w:type="dxa"/>
          </w:tcPr>
          <w:p w:rsidR="007F4F3B" w:rsidRPr="007F4F3B" w:rsidRDefault="007F4F3B" w:rsidP="005F0ED4">
            <w:pPr>
              <w:rPr>
                <w:rFonts w:ascii="Times New Roman" w:hAnsi="Times New Roman" w:cs="Times New Roman"/>
              </w:rPr>
            </w:pPr>
            <w:r w:rsidRPr="007F4F3B">
              <w:rPr>
                <w:rFonts w:ascii="Times New Roman" w:hAnsi="Times New Roman" w:cs="Times New Roman"/>
                <w:b/>
              </w:rPr>
              <w:t xml:space="preserve">Laboratoire de rattachement </w:t>
            </w:r>
            <w:r w:rsidR="005F0ED4" w:rsidRPr="00BA704B">
              <w:rPr>
                <w:rFonts w:ascii="Times New Roman" w:hAnsi="Times New Roman" w:cs="Times New Roman"/>
                <w:color w:val="0070C0"/>
              </w:rPr>
              <w:t>Cultures Anglo-Saxonnes (CAS)</w:t>
            </w:r>
          </w:p>
        </w:tc>
      </w:tr>
      <w:tr w:rsidR="007F4F3B" w:rsidRPr="007F4F3B" w:rsidTr="007F4F3B">
        <w:tc>
          <w:tcPr>
            <w:tcW w:w="9206" w:type="dxa"/>
          </w:tcPr>
          <w:p w:rsidR="007F4F3B" w:rsidRDefault="007F4F3B" w:rsidP="007F4F3B">
            <w:pPr>
              <w:rPr>
                <w:rFonts w:ascii="Times New Roman" w:hAnsi="Times New Roman" w:cs="Times New Roman"/>
              </w:rPr>
            </w:pPr>
            <w:r w:rsidRPr="007F4F3B">
              <w:rPr>
                <w:rFonts w:ascii="Times New Roman" w:hAnsi="Times New Roman" w:cs="Times New Roman"/>
                <w:b/>
              </w:rPr>
              <w:t>Description des travaux de recherches</w:t>
            </w:r>
            <w:r w:rsidRPr="007F4F3B">
              <w:rPr>
                <w:rFonts w:ascii="Times New Roman" w:hAnsi="Times New Roman" w:cs="Times New Roman"/>
              </w:rPr>
              <w:t xml:space="preserve"> </w:t>
            </w:r>
          </w:p>
          <w:p w:rsidR="00963A36" w:rsidRDefault="00963A36" w:rsidP="007F4F3B">
            <w:pPr>
              <w:rPr>
                <w:rFonts w:ascii="Times New Roman" w:hAnsi="Times New Roman" w:cs="Times New Roman"/>
              </w:rPr>
            </w:pPr>
          </w:p>
          <w:p w:rsidR="00BA704B" w:rsidRPr="00963A36" w:rsidRDefault="00BA704B" w:rsidP="00BA704B">
            <w:pPr>
              <w:rPr>
                <w:rFonts w:ascii="Times New Roman" w:hAnsi="Times New Roman" w:cs="Times New Roman"/>
                <w:color w:val="0070C0"/>
              </w:rPr>
            </w:pPr>
            <w:r w:rsidRPr="00963A36">
              <w:rPr>
                <w:rFonts w:ascii="Times New Roman" w:hAnsi="Times New Roman" w:cs="Times New Roman"/>
                <w:color w:val="0070C0"/>
              </w:rPr>
              <w:t>Des premiers travaux sur les mythes du Vieux Sud (entre autres dans la thèse soutenue en 1991) à l’ouvrage comparatif sur les esclavages dans la Caraïbe et le Sud des Etats-Unis (publié aux Presses de l’Université de Floride en 2003), à l’ouvrage paru en 2007, également aux Presses Universitaires de Floride (</w:t>
            </w:r>
            <w:proofErr w:type="spellStart"/>
            <w:r w:rsidRPr="00963A36">
              <w:rPr>
                <w:rFonts w:ascii="Times New Roman" w:hAnsi="Times New Roman" w:cs="Times New Roman"/>
                <w:i/>
                <w:color w:val="0070C0"/>
              </w:rPr>
              <w:t>From</w:t>
            </w:r>
            <w:proofErr w:type="spellEnd"/>
            <w:r w:rsidRPr="00963A36">
              <w:rPr>
                <w:rFonts w:ascii="Times New Roman" w:hAnsi="Times New Roman" w:cs="Times New Roman"/>
                <w:i/>
                <w:color w:val="0070C0"/>
              </w:rPr>
              <w:t xml:space="preserve"> Saint-Domingue to New </w:t>
            </w:r>
            <w:proofErr w:type="spellStart"/>
            <w:r w:rsidRPr="00963A36">
              <w:rPr>
                <w:rFonts w:ascii="Times New Roman" w:hAnsi="Times New Roman" w:cs="Times New Roman"/>
                <w:i/>
                <w:color w:val="0070C0"/>
              </w:rPr>
              <w:t>Orleans</w:t>
            </w:r>
            <w:proofErr w:type="spellEnd"/>
            <w:r w:rsidRPr="00963A36">
              <w:rPr>
                <w:rFonts w:ascii="Times New Roman" w:hAnsi="Times New Roman" w:cs="Times New Roman"/>
                <w:color w:val="0070C0"/>
              </w:rPr>
              <w:t>), aux travaux actuels sur les plantations urbaines de Louisiane au XIXe siècle (un ouvrage en cours de publication</w:t>
            </w:r>
            <w:r w:rsidR="00A43C81" w:rsidRPr="00963A36">
              <w:rPr>
                <w:rFonts w:ascii="Times New Roman" w:hAnsi="Times New Roman" w:cs="Times New Roman"/>
                <w:color w:val="0070C0"/>
              </w:rPr>
              <w:t>, de nouveau aux Presses Universitaires de Floride)</w:t>
            </w:r>
            <w:r w:rsidRPr="00963A36">
              <w:rPr>
                <w:rFonts w:ascii="Times New Roman" w:hAnsi="Times New Roman" w:cs="Times New Roman"/>
                <w:color w:val="0070C0"/>
              </w:rPr>
              <w:t xml:space="preserve"> et à la recherche récemment entreprise sur la </w:t>
            </w:r>
            <w:proofErr w:type="spellStart"/>
            <w:r w:rsidRPr="00963A36">
              <w:rPr>
                <w:rFonts w:ascii="Times New Roman" w:hAnsi="Times New Roman" w:cs="Times New Roman"/>
                <w:color w:val="0070C0"/>
              </w:rPr>
              <w:t>mémorialisation</w:t>
            </w:r>
            <w:proofErr w:type="spellEnd"/>
            <w:r w:rsidRPr="00963A36">
              <w:rPr>
                <w:rFonts w:ascii="Times New Roman" w:hAnsi="Times New Roman" w:cs="Times New Roman"/>
                <w:color w:val="0070C0"/>
              </w:rPr>
              <w:t xml:space="preserve"> de l’esclavage à la Nouvelle-Orléans, l’ensemble des recherches conduites depuis le doctorat sont liées à la question de l’esclavage, de sa mémoire, de sa représentation.</w:t>
            </w:r>
          </w:p>
          <w:p w:rsidR="00BA704B" w:rsidRPr="00963A36" w:rsidRDefault="00BA704B" w:rsidP="00BA704B">
            <w:pPr>
              <w:rPr>
                <w:rFonts w:ascii="Times New Roman" w:hAnsi="Times New Roman" w:cs="Times New Roman"/>
                <w:color w:val="0070C0"/>
              </w:rPr>
            </w:pPr>
            <w:r w:rsidRPr="00963A36">
              <w:rPr>
                <w:rFonts w:ascii="Times New Roman" w:hAnsi="Times New Roman" w:cs="Times New Roman"/>
                <w:color w:val="0070C0"/>
              </w:rPr>
              <w:t xml:space="preserve">Parmi les publications citées dans la liste ci-dessous, la question des représentations de l’esclavage dans les diverses sociétés américaines est </w:t>
            </w:r>
            <w:r w:rsidR="00A43C81" w:rsidRPr="00963A36">
              <w:rPr>
                <w:rFonts w:ascii="Times New Roman" w:hAnsi="Times New Roman" w:cs="Times New Roman"/>
                <w:color w:val="0070C0"/>
              </w:rPr>
              <w:t xml:space="preserve">clairement prégnante, ainsi que le souhait </w:t>
            </w:r>
            <w:r w:rsidRPr="00963A36">
              <w:rPr>
                <w:rFonts w:ascii="Times New Roman" w:hAnsi="Times New Roman" w:cs="Times New Roman"/>
                <w:color w:val="0070C0"/>
              </w:rPr>
              <w:t>de faire entendre la voix des esclaves au travers d’</w:t>
            </w:r>
            <w:r w:rsidR="00A43C81" w:rsidRPr="00963A36">
              <w:rPr>
                <w:rFonts w:ascii="Times New Roman" w:hAnsi="Times New Roman" w:cs="Times New Roman"/>
                <w:color w:val="0070C0"/>
              </w:rPr>
              <w:t>histoires et de tranches de vies.</w:t>
            </w:r>
          </w:p>
          <w:p w:rsidR="007F4F3B" w:rsidRPr="007F4F3B" w:rsidRDefault="007F4F3B" w:rsidP="007F4F3B">
            <w:pPr>
              <w:rPr>
                <w:rFonts w:ascii="Times New Roman" w:hAnsi="Times New Roman" w:cs="Times New Roman"/>
              </w:rPr>
            </w:pPr>
          </w:p>
        </w:tc>
      </w:tr>
      <w:tr w:rsidR="007F4F3B" w:rsidRPr="001A157A" w:rsidTr="007F4F3B">
        <w:tc>
          <w:tcPr>
            <w:tcW w:w="9206" w:type="dxa"/>
          </w:tcPr>
          <w:p w:rsidR="007F4F3B" w:rsidRDefault="007F4F3B">
            <w:pPr>
              <w:rPr>
                <w:rFonts w:ascii="Times New Roman" w:hAnsi="Times New Roman" w:cs="Times New Roman"/>
              </w:rPr>
            </w:pPr>
            <w:r w:rsidRPr="007F4F3B">
              <w:rPr>
                <w:rFonts w:ascii="Times New Roman" w:hAnsi="Times New Roman" w:cs="Times New Roman"/>
                <w:b/>
              </w:rPr>
              <w:t>Liste des publications principales</w:t>
            </w:r>
            <w:r>
              <w:rPr>
                <w:rFonts w:ascii="Times New Roman" w:hAnsi="Times New Roman" w:cs="Times New Roman"/>
              </w:rPr>
              <w:t xml:space="preserve"> qui s’inscrivent dans les axes de recherche de l’atelier</w:t>
            </w:r>
          </w:p>
          <w:p w:rsidR="00C5005F" w:rsidRDefault="00C5005F">
            <w:pPr>
              <w:rPr>
                <w:rFonts w:ascii="Times New Roman" w:hAnsi="Times New Roman" w:cs="Times New Roman"/>
              </w:rPr>
            </w:pPr>
          </w:p>
          <w:p w:rsidR="001547FD" w:rsidRPr="00FD7D99" w:rsidRDefault="001547FD" w:rsidP="001547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en-GB"/>
              </w:rPr>
            </w:pPr>
            <w:r w:rsidRPr="001547FD">
              <w:rPr>
                <w:i/>
                <w:lang w:val="en-US"/>
              </w:rPr>
              <w:t xml:space="preserve">Myths of the Plantation Society: Slavery in the American South and the West Indies. </w:t>
            </w:r>
            <w:r w:rsidRPr="001547FD">
              <w:rPr>
                <w:lang w:val="en-US"/>
              </w:rPr>
              <w:t xml:space="preserve"> </w:t>
            </w:r>
            <w:r w:rsidRPr="00C5005F">
              <w:rPr>
                <w:lang w:val="en-US"/>
              </w:rPr>
              <w:t>Gainesville: University Press of Florida,</w:t>
            </w:r>
            <w:r w:rsidRPr="00FD7D99">
              <w:rPr>
                <w:lang w:val="en-GB"/>
              </w:rPr>
              <w:t xml:space="preserve"> 2003.</w:t>
            </w:r>
          </w:p>
          <w:p w:rsidR="001A157A" w:rsidRPr="0051336E" w:rsidRDefault="001A157A" w:rsidP="001A157A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14B94">
              <w:rPr>
                <w:lang w:val="en-US"/>
              </w:rPr>
              <w:t>« Re-Writing Race in Early American New Orleans »,</w:t>
            </w:r>
            <w:r w:rsidRPr="00014B94">
              <w:rPr>
                <w:i/>
                <w:iCs/>
                <w:shd w:val="clear" w:color="auto" w:fill="FFFFFF"/>
                <w:lang w:val="en-US"/>
              </w:rPr>
              <w:t> Miranda</w:t>
            </w:r>
            <w:r w:rsidRPr="00014B94">
              <w:rPr>
                <w:lang w:val="en-US"/>
              </w:rPr>
              <w:t>, n°5 (2011) - South and race/</w:t>
            </w:r>
            <w:proofErr w:type="spellStart"/>
            <w:r w:rsidRPr="00014B94">
              <w:rPr>
                <w:lang w:val="en-US"/>
              </w:rPr>
              <w:t>Sud</w:t>
            </w:r>
            <w:proofErr w:type="spellEnd"/>
            <w:r w:rsidRPr="00014B94">
              <w:rPr>
                <w:lang w:val="en-US"/>
              </w:rPr>
              <w:t xml:space="preserve"> </w:t>
            </w:r>
            <w:proofErr w:type="gramStart"/>
            <w:r w:rsidRPr="00014B94">
              <w:rPr>
                <w:lang w:val="en-US"/>
              </w:rPr>
              <w:t>et</w:t>
            </w:r>
            <w:proofErr w:type="gramEnd"/>
            <w:r w:rsidRPr="00014B94">
              <w:rPr>
                <w:lang w:val="en-US"/>
              </w:rPr>
              <w:t xml:space="preserve"> race (Ed.</w:t>
            </w:r>
            <w:r w:rsidRPr="001547FD">
              <w:rPr>
                <w:lang w:val="en-US"/>
              </w:rPr>
              <w:t xml:space="preserve"> </w:t>
            </w:r>
            <w:r w:rsidRPr="0051336E">
              <w:t xml:space="preserve">Anne Stefani). </w:t>
            </w:r>
            <w:proofErr w:type="spellStart"/>
            <w:r w:rsidRPr="0051336E">
              <w:t>December</w:t>
            </w:r>
            <w:proofErr w:type="spellEnd"/>
            <w:r w:rsidRPr="0051336E">
              <w:t xml:space="preserve"> 2011. </w:t>
            </w:r>
            <w:hyperlink r:id="rId7" w:history="1">
              <w:r w:rsidRPr="00014B94">
                <w:rPr>
                  <w:color w:val="0000FF"/>
                  <w:u w:val="single"/>
                </w:rPr>
                <w:t>http://www.miranda-ejournal.eu/1/miranda/article.xsp?numero=5&amp;id_article=Article_11-60</w:t>
              </w:r>
              <w:r w:rsidRPr="0051336E">
                <w:rPr>
                  <w:color w:val="0000FF"/>
                  <w:u w:val="single"/>
                </w:rPr>
                <w:t>6</w:t>
              </w:r>
            </w:hyperlink>
            <w:r w:rsidRPr="0051336E">
              <w:t>, mis en ligne le 29/11/2011. </w:t>
            </w:r>
          </w:p>
          <w:p w:rsidR="00014B94" w:rsidRDefault="00C5005F" w:rsidP="00014B9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Codirection avec J</w:t>
            </w:r>
            <w:r w:rsidR="00014B94">
              <w:rPr>
                <w:rFonts w:eastAsia="Verdana"/>
              </w:rPr>
              <w:t xml:space="preserve">ean-Pierre Le </w:t>
            </w:r>
            <w:proofErr w:type="spellStart"/>
            <w:r w:rsidR="00014B94">
              <w:rPr>
                <w:rFonts w:eastAsia="Verdana"/>
              </w:rPr>
              <w:t>Glaunec</w:t>
            </w:r>
            <w:proofErr w:type="spellEnd"/>
            <w:r w:rsidR="00014B94">
              <w:rPr>
                <w:rFonts w:eastAsia="Verdana"/>
              </w:rPr>
              <w:t xml:space="preserve"> de « Histoires d’esclaves », </w:t>
            </w:r>
            <w:proofErr w:type="spellStart"/>
            <w:r w:rsidR="00014B94">
              <w:rPr>
                <w:rFonts w:eastAsia="Verdana"/>
                <w:i/>
              </w:rPr>
              <w:t>Transatlantica</w:t>
            </w:r>
            <w:proofErr w:type="spellEnd"/>
            <w:r w:rsidR="00014B94">
              <w:rPr>
                <w:rFonts w:eastAsia="Verdana"/>
              </w:rPr>
              <w:t xml:space="preserve"> 2/ 2012. </w:t>
            </w:r>
            <w:hyperlink r:id="rId8" w:history="1">
              <w:r w:rsidR="00014B94" w:rsidRPr="000517AF">
                <w:rPr>
                  <w:rStyle w:val="Lienhypertexte"/>
                  <w:rFonts w:eastAsia="Verdana"/>
                </w:rPr>
                <w:t>http://transatlantica.revues.org/5723</w:t>
              </w:r>
            </w:hyperlink>
            <w:r w:rsidR="00014B94">
              <w:rPr>
                <w:rFonts w:eastAsia="Verdana"/>
              </w:rPr>
              <w:t xml:space="preserve"> </w:t>
            </w:r>
          </w:p>
          <w:p w:rsidR="001547FD" w:rsidRPr="001547FD" w:rsidRDefault="001547FD" w:rsidP="001547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 w:rsidRPr="001547FD">
              <w:rPr>
                <w:lang w:val="en-US"/>
              </w:rPr>
              <w:t>« </w:t>
            </w:r>
            <w:r w:rsidRPr="001547FD">
              <w:rPr>
                <w:rFonts w:eastAsia="Verdana"/>
                <w:lang w:val="en-US"/>
              </w:rPr>
              <w:t>French America</w:t>
            </w:r>
            <w:r w:rsidRPr="001547FD">
              <w:rPr>
                <w:lang w:val="en-US"/>
              </w:rPr>
              <w:t> »</w:t>
            </w:r>
            <w:r w:rsidRPr="001547FD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1547FD">
              <w:rPr>
                <w:rFonts w:eastAsia="Verdana"/>
                <w:lang w:val="en-US"/>
              </w:rPr>
              <w:t>dans</w:t>
            </w:r>
            <w:proofErr w:type="spellEnd"/>
            <w:r w:rsidRPr="001547FD">
              <w:rPr>
                <w:rFonts w:eastAsia="Verdana"/>
                <w:lang w:val="en-US"/>
              </w:rPr>
              <w:t xml:space="preserve"> </w:t>
            </w:r>
            <w:r w:rsidRPr="001547FD">
              <w:rPr>
                <w:i/>
                <w:iCs/>
                <w:lang w:val="en-US"/>
              </w:rPr>
              <w:t xml:space="preserve">Enslaved Women in America: An Encyclopedia </w:t>
            </w:r>
            <w:r w:rsidRPr="001547FD">
              <w:rPr>
                <w:iCs/>
                <w:lang w:val="en-US"/>
              </w:rPr>
              <w:t xml:space="preserve">sous la direction de </w:t>
            </w:r>
            <w:proofErr w:type="spellStart"/>
            <w:r w:rsidRPr="001547FD">
              <w:rPr>
                <w:bCs/>
                <w:lang w:val="en-US"/>
              </w:rPr>
              <w:t>Daina</w:t>
            </w:r>
            <w:proofErr w:type="spellEnd"/>
            <w:r w:rsidRPr="001547FD">
              <w:rPr>
                <w:bCs/>
                <w:lang w:val="en-US"/>
              </w:rPr>
              <w:t xml:space="preserve"> Ramey Berry, Editor in Chief, et </w:t>
            </w:r>
            <w:proofErr w:type="spellStart"/>
            <w:r w:rsidRPr="001547FD">
              <w:rPr>
                <w:bCs/>
                <w:lang w:val="en-US"/>
              </w:rPr>
              <w:t>Deleso</w:t>
            </w:r>
            <w:proofErr w:type="spellEnd"/>
            <w:r w:rsidRPr="001547FD">
              <w:rPr>
                <w:bCs/>
                <w:lang w:val="en-US"/>
              </w:rPr>
              <w:t xml:space="preserve"> A. Alford, Senior Editor</w:t>
            </w:r>
            <w:r w:rsidRPr="001547FD">
              <w:rPr>
                <w:b/>
                <w:bCs/>
                <w:lang w:val="en-US"/>
              </w:rPr>
              <w:t xml:space="preserve">, </w:t>
            </w:r>
            <w:r w:rsidRPr="001547FD">
              <w:rPr>
                <w:bCs/>
                <w:lang w:val="en-US"/>
              </w:rPr>
              <w:t>New York, Greenwood</w:t>
            </w:r>
            <w:r w:rsidRPr="001547FD">
              <w:rPr>
                <w:lang w:val="en-US"/>
              </w:rPr>
              <w:t xml:space="preserve"> Press</w:t>
            </w:r>
            <w:r w:rsidR="001A157A">
              <w:rPr>
                <w:lang w:val="en-US"/>
              </w:rPr>
              <w:t>, 2012</w:t>
            </w:r>
            <w:r w:rsidRPr="001547FD">
              <w:rPr>
                <w:lang w:val="en-US"/>
              </w:rPr>
              <w:t>.</w:t>
            </w:r>
          </w:p>
          <w:p w:rsidR="001A157A" w:rsidRPr="00014B94" w:rsidRDefault="00C5005F" w:rsidP="001A157A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eastAsia="Verdana"/>
              </w:rPr>
            </w:pPr>
            <w:r>
              <w:rPr>
                <w:color w:val="000000"/>
              </w:rPr>
              <w:t>Direction de</w:t>
            </w:r>
            <w:r w:rsidRPr="00C5005F">
              <w:rPr>
                <w:color w:val="000000"/>
              </w:rPr>
              <w:t xml:space="preserve"> </w:t>
            </w:r>
            <w:r w:rsidRPr="001547FD">
              <w:rPr>
                <w:color w:val="000000"/>
              </w:rPr>
              <w:t xml:space="preserve">“Représentation des esclavages dans les Amériques”, </w:t>
            </w:r>
            <w:r w:rsidR="001A157A" w:rsidRPr="001547FD">
              <w:rPr>
                <w:i/>
                <w:color w:val="000000"/>
              </w:rPr>
              <w:t xml:space="preserve">L’Ordinaire </w:t>
            </w:r>
            <w:r w:rsidR="001A157A" w:rsidRPr="001547FD">
              <w:rPr>
                <w:i/>
                <w:color w:val="000000"/>
              </w:rPr>
              <w:lastRenderedPageBreak/>
              <w:t>des Amériques</w:t>
            </w:r>
            <w:r w:rsidR="001A157A" w:rsidRPr="001547FD">
              <w:rPr>
                <w:color w:val="000000"/>
              </w:rPr>
              <w:t xml:space="preserve"> </w:t>
            </w:r>
            <w:r w:rsidRPr="001547FD">
              <w:rPr>
                <w:color w:val="000000"/>
              </w:rPr>
              <w:t>215</w:t>
            </w:r>
            <w:r>
              <w:rPr>
                <w:color w:val="000000"/>
              </w:rPr>
              <w:t xml:space="preserve"> (</w:t>
            </w:r>
            <w:r w:rsidR="001A157A" w:rsidRPr="001547FD">
              <w:rPr>
                <w:color w:val="000000"/>
              </w:rPr>
              <w:t>201</w:t>
            </w:r>
            <w:r w:rsidR="001A157A" w:rsidRPr="001547FD">
              <w:rPr>
                <w:rFonts w:eastAsia="Verdana"/>
              </w:rPr>
              <w:t>3</w:t>
            </w:r>
            <w:r>
              <w:rPr>
                <w:rFonts w:eastAsia="Verdana"/>
              </w:rPr>
              <w:t>)</w:t>
            </w:r>
            <w:r w:rsidR="001A157A" w:rsidRPr="001547FD">
              <w:rPr>
                <w:rFonts w:eastAsia="Verdana"/>
              </w:rPr>
              <w:t xml:space="preserve">, mis en ligne le 3 mars 2014. </w:t>
            </w:r>
            <w:hyperlink r:id="rId9" w:history="1">
              <w:r w:rsidR="001A157A" w:rsidRPr="001547FD">
                <w:rPr>
                  <w:rStyle w:val="Lienhypertexte"/>
                  <w:rFonts w:eastAsia="Verdana"/>
                </w:rPr>
                <w:t>http://orda.revues.org/76</w:t>
              </w:r>
            </w:hyperlink>
            <w:r w:rsidR="001A157A" w:rsidRPr="001547FD">
              <w:rPr>
                <w:rFonts w:eastAsia="Verdana"/>
              </w:rPr>
              <w:t xml:space="preserve"> </w:t>
            </w:r>
          </w:p>
          <w:p w:rsidR="007F4F3B" w:rsidRPr="001A157A" w:rsidRDefault="007F4F3B" w:rsidP="00963A36">
            <w:pPr>
              <w:rPr>
                <w:rFonts w:ascii="Times New Roman" w:hAnsi="Times New Roman" w:cs="Times New Roman"/>
              </w:rPr>
            </w:pPr>
          </w:p>
        </w:tc>
      </w:tr>
      <w:tr w:rsidR="007F4F3B" w:rsidRPr="007F4F3B" w:rsidTr="007F4F3B">
        <w:tc>
          <w:tcPr>
            <w:tcW w:w="9206" w:type="dxa"/>
          </w:tcPr>
          <w:p w:rsidR="007F4F3B" w:rsidRPr="00FF26F1" w:rsidRDefault="007F4F3B">
            <w:pPr>
              <w:rPr>
                <w:rFonts w:ascii="Times New Roman" w:hAnsi="Times New Roman" w:cs="Times New Roman"/>
              </w:rPr>
            </w:pPr>
            <w:r w:rsidRPr="007F4F3B">
              <w:rPr>
                <w:rFonts w:ascii="Times New Roman" w:hAnsi="Times New Roman" w:cs="Times New Roman"/>
                <w:b/>
              </w:rPr>
              <w:lastRenderedPageBreak/>
              <w:t xml:space="preserve">Adresse d’un site personnel </w:t>
            </w:r>
            <w:r w:rsidR="00FF26F1">
              <w:rPr>
                <w:rFonts w:ascii="Times New Roman" w:hAnsi="Times New Roman" w:cs="Times New Roman"/>
                <w:b/>
              </w:rPr>
              <w:t xml:space="preserve">/ Blog </w:t>
            </w:r>
          </w:p>
        </w:tc>
      </w:tr>
      <w:tr w:rsidR="007F4F3B" w:rsidRPr="007F4F3B" w:rsidTr="007F4F3B">
        <w:tc>
          <w:tcPr>
            <w:tcW w:w="9206" w:type="dxa"/>
          </w:tcPr>
          <w:p w:rsidR="007F4F3B" w:rsidRDefault="007F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Joindre en </w:t>
            </w:r>
            <w:proofErr w:type="spellStart"/>
            <w:r>
              <w:rPr>
                <w:rFonts w:ascii="Times New Roman" w:hAnsi="Times New Roman" w:cs="Times New Roman"/>
              </w:rPr>
              <w:t>pj</w:t>
            </w:r>
            <w:proofErr w:type="spellEnd"/>
            <w:r>
              <w:rPr>
                <w:rFonts w:ascii="Times New Roman" w:hAnsi="Times New Roman" w:cs="Times New Roman"/>
              </w:rPr>
              <w:t xml:space="preserve"> une de ces publications (de plus de 4 ans) : chapitre d’ouvrage ou article en rapport avec les axes de recherche de l’atelier </w:t>
            </w:r>
          </w:p>
          <w:p w:rsidR="00BA704B" w:rsidRPr="00BA704B" w:rsidRDefault="00BA704B" w:rsidP="00BA704B">
            <w:pPr>
              <w:rPr>
                <w:rFonts w:ascii="Times New Roman" w:hAnsi="Times New Roman" w:cs="Times New Roman"/>
                <w:color w:val="0070C0"/>
              </w:rPr>
            </w:pPr>
            <w:r w:rsidRPr="00BA704B">
              <w:rPr>
                <w:rFonts w:ascii="Times New Roman" w:hAnsi="Times New Roman" w:cs="Times New Roman"/>
                <w:color w:val="0070C0"/>
              </w:rPr>
              <w:t xml:space="preserve">Trois des 5 publications sont en ligne (voir les adresses qui figurent sur la bibliographie ci-dessus).   </w:t>
            </w:r>
          </w:p>
        </w:tc>
      </w:tr>
    </w:tbl>
    <w:p w:rsidR="00D53730" w:rsidRDefault="00D53730"/>
    <w:sectPr w:rsidR="00D53730" w:rsidSect="00D537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B5"/>
    <w:multiLevelType w:val="hybridMultilevel"/>
    <w:tmpl w:val="38521C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46294"/>
    <w:multiLevelType w:val="hybridMultilevel"/>
    <w:tmpl w:val="2EF8471E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F616273"/>
    <w:multiLevelType w:val="hybridMultilevel"/>
    <w:tmpl w:val="38521C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7420A"/>
    <w:multiLevelType w:val="hybridMultilevel"/>
    <w:tmpl w:val="659216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FA"/>
    <w:rsid w:val="00014B94"/>
    <w:rsid w:val="001547FD"/>
    <w:rsid w:val="001A157A"/>
    <w:rsid w:val="001F57A0"/>
    <w:rsid w:val="00450CFA"/>
    <w:rsid w:val="005F0ED4"/>
    <w:rsid w:val="007F4F3B"/>
    <w:rsid w:val="00845AF1"/>
    <w:rsid w:val="00963A36"/>
    <w:rsid w:val="00A43C81"/>
    <w:rsid w:val="00BA704B"/>
    <w:rsid w:val="00C5005F"/>
    <w:rsid w:val="00D53730"/>
    <w:rsid w:val="00E414C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F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0E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D4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rsid w:val="001547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5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F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0E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D4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rsid w:val="001547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5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iranda-ejournal.eu/1/miranda/article.xsp?numero=5&amp;id_article=Article_11-606" TargetMode="External"/><Relationship Id="rId8" Type="http://schemas.openxmlformats.org/officeDocument/2006/relationships/hyperlink" Target="http://transatlantica.revues.org/5723" TargetMode="External"/><Relationship Id="rId9" Type="http://schemas.openxmlformats.org/officeDocument/2006/relationships/hyperlink" Target="http://orda.revues.org/7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2341</Characters>
  <Application>Microsoft Macintosh Word</Application>
  <DocSecurity>0</DocSecurity>
  <Lines>33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Hourya Bentouhami</dc:creator>
  <cp:keywords/>
  <dc:description/>
  <cp:lastModifiedBy>Hourya Bentouhami</cp:lastModifiedBy>
  <cp:revision>2</cp:revision>
  <dcterms:created xsi:type="dcterms:W3CDTF">2014-03-24T17:29:00Z</dcterms:created>
  <dcterms:modified xsi:type="dcterms:W3CDTF">2014-03-24T17:29:00Z</dcterms:modified>
</cp:coreProperties>
</file>