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6E9" w:rsidRPr="004A2209" w:rsidRDefault="001B46E9" w:rsidP="001B46E9">
      <w:pPr>
        <w:pStyle w:val="Titre"/>
      </w:pPr>
      <w:r w:rsidRPr="004A2209">
        <w:t>Claudel, la chair et l’âme</w:t>
      </w:r>
    </w:p>
    <w:p w:rsidR="001B46E9" w:rsidRPr="004A2209" w:rsidRDefault="001B46E9" w:rsidP="00D8213A">
      <w:pPr>
        <w:pStyle w:val="Titre1"/>
      </w:pPr>
      <w:r w:rsidRPr="004A2209">
        <w:t>Introduction</w:t>
      </w:r>
    </w:p>
    <w:p w:rsidR="008C228A" w:rsidRPr="004A2209" w:rsidRDefault="001B46E9" w:rsidP="001B46E9">
      <w:pPr>
        <w:tabs>
          <w:tab w:val="left" w:pos="6048"/>
        </w:tabs>
      </w:pPr>
      <w:r w:rsidRPr="004A2209">
        <w:t>Ce qui rassemble Claudel et Augustin dans ce séminaire est une question qui par son poids marque la pensée d’Augustin comme le théâtre de Claudel, tels qu’ils sont reçus par beaucoup dans notre culture. Cependant si jusqu’au XVII</w:t>
      </w:r>
      <w:r w:rsidRPr="004A2209">
        <w:rPr>
          <w:vertAlign w:val="superscript"/>
        </w:rPr>
        <w:t>e</w:t>
      </w:r>
      <w:r w:rsidRPr="004A2209">
        <w:t xml:space="preserve"> siècle on peut faire fonds sur une connaissance directe de saint Augustin chez les penseurs, écrivains et théologiens qui ont traité cette question, pour le XX</w:t>
      </w:r>
      <w:r w:rsidRPr="004A2209">
        <w:rPr>
          <w:vertAlign w:val="superscript"/>
        </w:rPr>
        <w:t>e</w:t>
      </w:r>
      <w:r w:rsidRPr="004A2209">
        <w:t xml:space="preserve"> siècle rien n’est moins sûr, et le cas de Claudel en est un exemple frappant. Au problème de sa connaissance des écrits d’Augustin se joint celui que nous avions déjà posé pour Racine : comment retrouver la pensée d’Augustin dans des œuvres dont ce dernier condamnait l’existence même, c’est-à-dire des pièces de théâtre. L</w:t>
      </w:r>
      <w:r w:rsidR="00D8213A" w:rsidRPr="004A2209">
        <w:t>e thème du rapport entre chair et âme unit les deux questions –</w:t>
      </w:r>
      <w:r w:rsidRPr="004A2209">
        <w:t xml:space="preserve"> celles des sources de Claudel et celle </w:t>
      </w:r>
      <w:r w:rsidR="00D8213A" w:rsidRPr="004A2209">
        <w:t xml:space="preserve">du genre dramatique : il se situe dans une tradition coextensive à l’histoire de la pensée chrétienne, qu’il questionne, et la représentation théâtrale est pour Claudel un moyen privilégié de questionnement. </w:t>
      </w:r>
      <w:r w:rsidR="00D8213A" w:rsidRPr="004A2209">
        <w:rPr>
          <w:rFonts w:cs="Times New Roman"/>
        </w:rPr>
        <w:t>À</w:t>
      </w:r>
      <w:r w:rsidR="00D8213A" w:rsidRPr="004A2209">
        <w:t xml:space="preserve"> travers Claudel et le thème de la chair, est donnée une lecture moderne du problème, qui reprend et dépasse la pensée d’Augustin.</w:t>
      </w:r>
    </w:p>
    <w:p w:rsidR="00D8213A" w:rsidRPr="004A2209" w:rsidRDefault="00D8213A" w:rsidP="00D8213A">
      <w:pPr>
        <w:pStyle w:val="Titre1"/>
        <w:rPr>
          <w:i/>
        </w:rPr>
      </w:pPr>
      <w:r w:rsidRPr="004A2209">
        <w:t xml:space="preserve">La chair et l’âme dans </w:t>
      </w:r>
      <w:r w:rsidRPr="004A2209">
        <w:rPr>
          <w:i/>
        </w:rPr>
        <w:t xml:space="preserve">Le Partage de Midi </w:t>
      </w:r>
      <w:r w:rsidRPr="004A2209">
        <w:t xml:space="preserve">et </w:t>
      </w:r>
      <w:r w:rsidRPr="004A2209">
        <w:rPr>
          <w:i/>
        </w:rPr>
        <w:t>Le Soulier de satin</w:t>
      </w:r>
    </w:p>
    <w:p w:rsidR="00D8213A" w:rsidRPr="004A2209" w:rsidRDefault="00D8213A" w:rsidP="00D8213A">
      <w:pPr>
        <w:rPr>
          <w:lang w:eastAsia="en-US" w:bidi="en-US"/>
        </w:rPr>
      </w:pPr>
      <w:r w:rsidRPr="004A2209">
        <w:rPr>
          <w:lang w:eastAsia="en-US" w:bidi="en-US"/>
        </w:rPr>
        <w:t xml:space="preserve">Marie-Ève </w:t>
      </w:r>
      <w:r w:rsidRPr="004A2209">
        <w:rPr>
          <w:smallCaps/>
          <w:lang w:eastAsia="en-US" w:bidi="en-US"/>
        </w:rPr>
        <w:t>Alexandre</w:t>
      </w:r>
      <w:r w:rsidRPr="004A2209">
        <w:rPr>
          <w:rStyle w:val="Appelnotedebasdep"/>
          <w:smallCaps/>
          <w:lang w:eastAsia="en-US" w:bidi="en-US"/>
        </w:rPr>
        <w:footnoteReference w:id="1"/>
      </w:r>
    </w:p>
    <w:p w:rsidR="00D8213A" w:rsidRPr="004A2209" w:rsidRDefault="00D8213A" w:rsidP="00D8213A">
      <w:pPr>
        <w:rPr>
          <w:lang w:eastAsia="en-US" w:bidi="en-US"/>
        </w:rPr>
      </w:pPr>
      <w:r w:rsidRPr="004A2209">
        <w:rPr>
          <w:lang w:eastAsia="en-US" w:bidi="en-US"/>
        </w:rPr>
        <w:t xml:space="preserve">Pour commencer Marie-Ève Alexandre insiste sur le problème philologique que pose l’étude d’Augustin chez Claudel. La seule lecture systématique et rigoureuse que celui-ci a faite est en effet celle de la </w:t>
      </w:r>
      <w:r w:rsidRPr="004A2209">
        <w:rPr>
          <w:i/>
          <w:lang w:eastAsia="en-US" w:bidi="en-US"/>
        </w:rPr>
        <w:t>Somme Théologique</w:t>
      </w:r>
      <w:r w:rsidRPr="004A2209">
        <w:rPr>
          <w:lang w:eastAsia="en-US" w:bidi="en-US"/>
        </w:rPr>
        <w:t xml:space="preserve"> de Thomas d’Aquin. D’Augustin, Claudel n’a lu rigoureusement que les </w:t>
      </w:r>
      <w:r w:rsidRPr="004A2209">
        <w:rPr>
          <w:i/>
          <w:lang w:eastAsia="en-US" w:bidi="en-US"/>
        </w:rPr>
        <w:t>Confessions</w:t>
      </w:r>
      <w:r w:rsidRPr="004A2209">
        <w:rPr>
          <w:lang w:eastAsia="en-US" w:bidi="en-US"/>
        </w:rPr>
        <w:t xml:space="preserve">, et dans une optique morale. Si ses écrits – </w:t>
      </w:r>
      <w:r w:rsidRPr="004A2209">
        <w:rPr>
          <w:i/>
          <w:lang w:eastAsia="en-US" w:bidi="en-US"/>
        </w:rPr>
        <w:t>Journal</w:t>
      </w:r>
      <w:r w:rsidRPr="004A2209">
        <w:rPr>
          <w:lang w:eastAsia="en-US" w:bidi="en-US"/>
        </w:rPr>
        <w:t>, commentaires exégétiques – présentent de très nombreuses citations d’Augustin, elles sont toutes ou presque de seconde main, prises chez Thomas d’Aquin ou Bossuet. Par ailleurs, chez un chrétien du XX</w:t>
      </w:r>
      <w:r w:rsidRPr="004A2209">
        <w:rPr>
          <w:vertAlign w:val="superscript"/>
          <w:lang w:eastAsia="en-US" w:bidi="en-US"/>
        </w:rPr>
        <w:t>e</w:t>
      </w:r>
      <w:r w:rsidRPr="004A2209">
        <w:rPr>
          <w:lang w:eastAsia="en-US" w:bidi="en-US"/>
        </w:rPr>
        <w:t xml:space="preserve"> siècle tel que l’est Claudel, il est difficile de discerner ce qui relève d’une connaissance de la pensée d’Augustin lui-même, et ce qui ressortit à la doctrine de l’</w:t>
      </w:r>
      <w:r w:rsidRPr="004A2209">
        <w:rPr>
          <w:rFonts w:cs="Times New Roman"/>
          <w:lang w:eastAsia="en-US" w:bidi="en-US"/>
        </w:rPr>
        <w:t>É</w:t>
      </w:r>
      <w:r w:rsidRPr="004A2209">
        <w:rPr>
          <w:lang w:eastAsia="en-US" w:bidi="en-US"/>
        </w:rPr>
        <w:t xml:space="preserve">glise catholique, </w:t>
      </w:r>
      <w:r w:rsidR="00D62CF9" w:rsidRPr="004A2209">
        <w:rPr>
          <w:lang w:eastAsia="en-US" w:bidi="en-US"/>
        </w:rPr>
        <w:t>laquelle</w:t>
      </w:r>
      <w:r w:rsidRPr="004A2209">
        <w:rPr>
          <w:lang w:eastAsia="en-US" w:bidi="en-US"/>
        </w:rPr>
        <w:t xml:space="preserve"> s’est appropr</w:t>
      </w:r>
      <w:r w:rsidR="00D62CF9" w:rsidRPr="004A2209">
        <w:rPr>
          <w:lang w:eastAsia="en-US" w:bidi="en-US"/>
        </w:rPr>
        <w:t>i</w:t>
      </w:r>
      <w:r w:rsidRPr="004A2209">
        <w:rPr>
          <w:lang w:eastAsia="en-US" w:bidi="en-US"/>
        </w:rPr>
        <w:t>é</w:t>
      </w:r>
      <w:r w:rsidR="00D62CF9" w:rsidRPr="004A2209">
        <w:rPr>
          <w:lang w:eastAsia="en-US" w:bidi="en-US"/>
        </w:rPr>
        <w:t xml:space="preserve"> le travail théologique de l’évêque d’Hippone. L’Augustin que Claudel cite est bien souvent celui qu’a lu et commenté saint Thomas – ou alors celui dont se nourrissent les encycliques de ce début de XX</w:t>
      </w:r>
      <w:r w:rsidR="00D62CF9" w:rsidRPr="004A2209">
        <w:rPr>
          <w:vertAlign w:val="superscript"/>
          <w:lang w:eastAsia="en-US" w:bidi="en-US"/>
        </w:rPr>
        <w:t>e</w:t>
      </w:r>
      <w:r w:rsidR="00D62CF9" w:rsidRPr="004A2209">
        <w:rPr>
          <w:lang w:eastAsia="en-US" w:bidi="en-US"/>
        </w:rPr>
        <w:t xml:space="preserve"> siècle.</w:t>
      </w:r>
    </w:p>
    <w:p w:rsidR="00D62CF9" w:rsidRPr="004A2209" w:rsidRDefault="00D62CF9" w:rsidP="00D8213A">
      <w:pPr>
        <w:rPr>
          <w:lang w:eastAsia="en-US" w:bidi="en-US"/>
        </w:rPr>
      </w:pPr>
      <w:r w:rsidRPr="004A2209">
        <w:rPr>
          <w:lang w:eastAsia="en-US" w:bidi="en-US"/>
        </w:rPr>
        <w:t>Néanmoins des travaux ont déjà montré la validité d’un rapprochement entre Augustin et Claudel : Aimé Becker a révélé la « parenté spirituelle » qui les unit</w:t>
      </w:r>
      <w:r w:rsidRPr="004A2209">
        <w:rPr>
          <w:rStyle w:val="Appelnotedebasdep"/>
          <w:lang w:eastAsia="en-US" w:bidi="en-US"/>
        </w:rPr>
        <w:footnoteReference w:id="2"/>
      </w:r>
      <w:r w:rsidRPr="004A2209">
        <w:rPr>
          <w:lang w:eastAsia="en-US" w:bidi="en-US"/>
        </w:rPr>
        <w:t>. Il n’a pas étudié le thème de la chair et de l’âme, ce qui ouvre une porte pour notre travail.</w:t>
      </w:r>
    </w:p>
    <w:p w:rsidR="00D62CF9" w:rsidRPr="004A2209" w:rsidRDefault="00D62CF9" w:rsidP="00D8213A">
      <w:pPr>
        <w:rPr>
          <w:lang w:eastAsia="en-US" w:bidi="en-US"/>
        </w:rPr>
      </w:pPr>
      <w:r w:rsidRPr="004A2209">
        <w:rPr>
          <w:lang w:eastAsia="en-US" w:bidi="en-US"/>
        </w:rPr>
        <w:t xml:space="preserve">M.-È Alexandre se concentre aujourd’hui sur deux pièces dont l’une, </w:t>
      </w:r>
      <w:r w:rsidRPr="004A2209">
        <w:rPr>
          <w:i/>
          <w:lang w:eastAsia="en-US" w:bidi="en-US"/>
        </w:rPr>
        <w:t>Le Soulier de satin</w:t>
      </w:r>
      <w:r w:rsidRPr="004A2209">
        <w:rPr>
          <w:lang w:eastAsia="en-US" w:bidi="en-US"/>
        </w:rPr>
        <w:t>, porte en guise d’épigraphe une expression explicitement attribuée à Augustin : « </w:t>
      </w:r>
      <w:r w:rsidRPr="004A2209">
        <w:rPr>
          <w:i/>
          <w:lang w:eastAsia="en-US" w:bidi="en-US"/>
        </w:rPr>
        <w:t xml:space="preserve">Etiam peccata. </w:t>
      </w:r>
      <w:r w:rsidRPr="004A2209">
        <w:rPr>
          <w:lang w:eastAsia="en-US" w:bidi="en-US"/>
        </w:rPr>
        <w:t>Saint Augustin ». Si elle est très probablement apocryphe</w:t>
      </w:r>
      <w:r w:rsidRPr="004A2209">
        <w:rPr>
          <w:rStyle w:val="Appelnotedebasdep"/>
          <w:lang w:eastAsia="en-US" w:bidi="en-US"/>
        </w:rPr>
        <w:footnoteReference w:id="3"/>
      </w:r>
      <w:r w:rsidRPr="004A2209">
        <w:rPr>
          <w:lang w:eastAsia="en-US" w:bidi="en-US"/>
        </w:rPr>
        <w:t xml:space="preserve">, elle témoigne du moins d’une volonté de rattacher cette œuvre la pensée théologique d’Augustin sur le péché. Avec </w:t>
      </w:r>
      <w:r w:rsidRPr="004A2209">
        <w:rPr>
          <w:i/>
          <w:lang w:eastAsia="en-US" w:bidi="en-US"/>
        </w:rPr>
        <w:t>Le Partage de Midi</w:t>
      </w:r>
      <w:r w:rsidRPr="004A2209">
        <w:rPr>
          <w:lang w:eastAsia="en-US" w:bidi="en-US"/>
        </w:rPr>
        <w:t xml:space="preserve">, </w:t>
      </w:r>
      <w:r w:rsidRPr="004A2209">
        <w:rPr>
          <w:i/>
          <w:lang w:eastAsia="en-US" w:bidi="en-US"/>
        </w:rPr>
        <w:t>LSS</w:t>
      </w:r>
      <w:r w:rsidRPr="004A2209">
        <w:rPr>
          <w:lang w:eastAsia="en-US" w:bidi="en-US"/>
        </w:rPr>
        <w:t xml:space="preserve"> a en commun le substrat autobiographique, dans lequel la question du rapport chair-esprit est décisive : il s’agit pour les deux pièces de la passion amoureuse </w:t>
      </w:r>
      <w:r w:rsidRPr="004A2209">
        <w:rPr>
          <w:lang w:eastAsia="en-US" w:bidi="en-US"/>
        </w:rPr>
        <w:lastRenderedPageBreak/>
        <w:t xml:space="preserve">confrontée à l’interdit posé par le mariage. S’y reflète le drame que Claudel a vécu dans sa relation avec Rosalie Vetch. Dans les deux pièces s’exprime une forme de coïncidence mystique dans l’amour passionnel : les amants sont </w:t>
      </w:r>
      <w:r w:rsidRPr="004A2209">
        <w:rPr>
          <w:i/>
          <w:lang w:eastAsia="en-US" w:bidi="en-US"/>
        </w:rPr>
        <w:t>faits l’un pour l’autre</w:t>
      </w:r>
      <w:r w:rsidRPr="004A2209">
        <w:rPr>
          <w:lang w:eastAsia="en-US" w:bidi="en-US"/>
        </w:rPr>
        <w:t>, de toute éternité, de telle sorte que cet amour ne représente pas une trahison par rapport au mariage sacramentel qui en interdit la consommation. Ces deux amours se réalisent sous une forme particul</w:t>
      </w:r>
      <w:r w:rsidR="00F8137A">
        <w:rPr>
          <w:lang w:eastAsia="en-US" w:bidi="en-US"/>
        </w:rPr>
        <w:t xml:space="preserve">ière, étrange : la nuit nuptiale </w:t>
      </w:r>
      <w:r w:rsidRPr="004A2209">
        <w:rPr>
          <w:lang w:eastAsia="en-US" w:bidi="en-US"/>
        </w:rPr>
        <w:t xml:space="preserve">qui conclut </w:t>
      </w:r>
      <w:r w:rsidRPr="004A2209">
        <w:rPr>
          <w:i/>
          <w:lang w:eastAsia="en-US" w:bidi="en-US"/>
        </w:rPr>
        <w:t>LPM</w:t>
      </w:r>
      <w:r w:rsidR="00D85A38" w:rsidRPr="004A2209">
        <w:rPr>
          <w:lang w:eastAsia="en-US" w:bidi="en-US"/>
        </w:rPr>
        <w:t xml:space="preserve"> aussi bien que</w:t>
      </w:r>
      <w:r w:rsidR="00F8137A">
        <w:rPr>
          <w:lang w:eastAsia="en-US" w:bidi="en-US"/>
        </w:rPr>
        <w:t xml:space="preserve"> le consentement étrange du</w:t>
      </w:r>
      <w:r w:rsidR="00D85A38" w:rsidRPr="004A2209">
        <w:rPr>
          <w:lang w:eastAsia="en-US" w:bidi="en-US"/>
        </w:rPr>
        <w:t xml:space="preserve"> </w:t>
      </w:r>
      <w:r w:rsidR="00D85A38" w:rsidRPr="004A2209">
        <w:rPr>
          <w:i/>
          <w:lang w:eastAsia="en-US" w:bidi="en-US"/>
        </w:rPr>
        <w:t>LSS</w:t>
      </w:r>
      <w:r w:rsidR="00D85A38" w:rsidRPr="004A2209">
        <w:rPr>
          <w:lang w:eastAsia="en-US" w:bidi="en-US"/>
        </w:rPr>
        <w:t>.</w:t>
      </w:r>
    </w:p>
    <w:p w:rsidR="00D85A38" w:rsidRPr="004A2209" w:rsidRDefault="00D85A38" w:rsidP="00D8213A">
      <w:pPr>
        <w:rPr>
          <w:lang w:eastAsia="en-US" w:bidi="en-US"/>
        </w:rPr>
      </w:pPr>
      <w:r w:rsidRPr="004A2209">
        <w:rPr>
          <w:lang w:eastAsia="en-US" w:bidi="en-US"/>
        </w:rPr>
        <w:t>Comprendre le rôle du thème chair-âme dans ces pièces revient à se demander comment on y passe d’un modèle où l’adultère conduit à la mort à un modèle où le renoncement à l’union charnelle et spirituelle conduit à la vie.</w:t>
      </w:r>
    </w:p>
    <w:p w:rsidR="00D85A38" w:rsidRPr="004A2209" w:rsidRDefault="00D85A38" w:rsidP="00D85A38">
      <w:pPr>
        <w:pStyle w:val="Titre2"/>
        <w:rPr>
          <w:lang w:val="fr-FR"/>
        </w:rPr>
      </w:pPr>
      <w:r w:rsidRPr="004A2209">
        <w:rPr>
          <w:lang w:val="fr-FR"/>
        </w:rPr>
        <w:t>Le combat de la chair et de l’âme</w:t>
      </w:r>
    </w:p>
    <w:p w:rsidR="00D85A38" w:rsidRPr="004A2209" w:rsidRDefault="00D85A38" w:rsidP="00D85A38">
      <w:pPr>
        <w:rPr>
          <w:lang w:eastAsia="en-US" w:bidi="en-US"/>
        </w:rPr>
      </w:pPr>
      <w:r w:rsidRPr="004A2209">
        <w:rPr>
          <w:lang w:eastAsia="en-US" w:bidi="en-US"/>
        </w:rPr>
        <w:t>M.-È Alexandre rappelle la théorie paulinienne de l’antagonisme entre chair et esprit qui est à l’œuvre dans l’homme</w:t>
      </w:r>
      <w:r w:rsidRPr="004A2209">
        <w:rPr>
          <w:rStyle w:val="Appelnotedebasdep"/>
          <w:lang w:eastAsia="en-US" w:bidi="en-US"/>
        </w:rPr>
        <w:footnoteReference w:id="4"/>
      </w:r>
      <w:r w:rsidRPr="004A2209">
        <w:rPr>
          <w:lang w:eastAsia="en-US" w:bidi="en-US"/>
        </w:rPr>
        <w:t>. L’équivalence posée est simple : esprit = Dieu et chair = péché. Augustin reprend ce schéma, dans l’optique particulière qui lui est donnée par sa formation intellectuelle, avec l’influence du manichéisme d’une part, et du néo-platonisme de l’autre. Ce double héritage l’amène à accentuer la polarisation chair-esprit mais aussi, dans son combat contre les thèses manichéennes, à travailler l’articulation des deux</w:t>
      </w:r>
      <w:r w:rsidRPr="004A2209">
        <w:rPr>
          <w:rStyle w:val="Appelnotedebasdep"/>
          <w:lang w:eastAsia="en-US" w:bidi="en-US"/>
        </w:rPr>
        <w:footnoteReference w:id="5"/>
      </w:r>
      <w:r w:rsidRPr="004A2209">
        <w:rPr>
          <w:lang w:eastAsia="en-US" w:bidi="en-US"/>
        </w:rPr>
        <w:t>. Cependant ce qui ressort de l’œuvre d’ensemble d’Augustin est une dénonciation permanente de la concupiscence de la chair</w:t>
      </w:r>
      <w:r w:rsidRPr="004A2209">
        <w:rPr>
          <w:rStyle w:val="Appelnotedebasdep"/>
          <w:lang w:eastAsia="en-US" w:bidi="en-US"/>
        </w:rPr>
        <w:footnoteReference w:id="6"/>
      </w:r>
      <w:r w:rsidRPr="004A2209">
        <w:rPr>
          <w:lang w:eastAsia="en-US" w:bidi="en-US"/>
        </w:rPr>
        <w:t>.</w:t>
      </w:r>
    </w:p>
    <w:p w:rsidR="00D85A38" w:rsidRPr="004A2209" w:rsidRDefault="00F8137A" w:rsidP="00D85A38">
      <w:pPr>
        <w:rPr>
          <w:lang w:eastAsia="en-US" w:bidi="en-US"/>
        </w:rPr>
      </w:pPr>
      <w:r w:rsidRPr="004A2209">
        <w:rPr>
          <w:lang w:eastAsia="en-US" w:bidi="en-US"/>
        </w:rPr>
        <w:t>M.-È Alexandre</w:t>
      </w:r>
      <w:r>
        <w:rPr>
          <w:lang w:eastAsia="en-US" w:bidi="en-US"/>
        </w:rPr>
        <w:t xml:space="preserve"> propose d’examiner dans quelle mesure une lecture des deux drames dans les termes augustiniens de « concupiscence » est pertinente</w:t>
      </w:r>
      <w:r w:rsidR="00B54F14" w:rsidRPr="004A2209">
        <w:rPr>
          <w:lang w:eastAsia="en-US" w:bidi="en-US"/>
        </w:rPr>
        <w:t>.</w:t>
      </w:r>
    </w:p>
    <w:p w:rsidR="00B54F14" w:rsidRPr="004A2209" w:rsidRDefault="00B54F14" w:rsidP="00D85A38">
      <w:pPr>
        <w:rPr>
          <w:lang w:eastAsia="en-US" w:bidi="en-US"/>
        </w:rPr>
      </w:pPr>
      <w:r w:rsidRPr="004A2209">
        <w:rPr>
          <w:lang w:eastAsia="en-US" w:bidi="en-US"/>
        </w:rPr>
        <w:t xml:space="preserve">Un infléchissement se note entre </w:t>
      </w:r>
      <w:r w:rsidRPr="004A2209">
        <w:rPr>
          <w:i/>
          <w:lang w:eastAsia="en-US" w:bidi="en-US"/>
        </w:rPr>
        <w:t>LPM</w:t>
      </w:r>
      <w:r w:rsidRPr="004A2209">
        <w:rPr>
          <w:lang w:eastAsia="en-US" w:bidi="en-US"/>
        </w:rPr>
        <w:t xml:space="preserve"> et </w:t>
      </w:r>
      <w:r w:rsidRPr="004A2209">
        <w:rPr>
          <w:i/>
          <w:lang w:eastAsia="en-US" w:bidi="en-US"/>
        </w:rPr>
        <w:t>LSS</w:t>
      </w:r>
      <w:r w:rsidRPr="004A2209">
        <w:rPr>
          <w:lang w:eastAsia="en-US" w:bidi="en-US"/>
        </w:rPr>
        <w:t>, d’une pièce emprunte de sensualité à une réflexion sur la chair spiritualisée. La première est envahie par un vocabulaire et des images sensuelles – l’adultère y est consommé – jusqu’à utiliser la métaphore animale pour désigner la femme</w:t>
      </w:r>
      <w:r w:rsidRPr="004A2209">
        <w:rPr>
          <w:rStyle w:val="Appelnotedebasdep"/>
          <w:lang w:eastAsia="en-US" w:bidi="en-US"/>
        </w:rPr>
        <w:footnoteReference w:id="7"/>
      </w:r>
      <w:r w:rsidRPr="004A2209">
        <w:rPr>
          <w:lang w:eastAsia="en-US" w:bidi="en-US"/>
        </w:rPr>
        <w:t xml:space="preserve">. Mais pour </w:t>
      </w:r>
      <w:r w:rsidR="00F8137A">
        <w:rPr>
          <w:i/>
          <w:lang w:eastAsia="en-US" w:bidi="en-US"/>
        </w:rPr>
        <w:t>LPM</w:t>
      </w:r>
      <w:r w:rsidRPr="004A2209">
        <w:rPr>
          <w:lang w:eastAsia="en-US" w:bidi="en-US"/>
        </w:rPr>
        <w:t xml:space="preserve"> se pose le problème d’une réécriture quasi blasphématoire du </w:t>
      </w:r>
      <w:r w:rsidRPr="004A2209">
        <w:rPr>
          <w:i/>
          <w:lang w:eastAsia="en-US" w:bidi="en-US"/>
        </w:rPr>
        <w:t>Cantique des Cantiques</w:t>
      </w:r>
      <w:r w:rsidR="00F8137A">
        <w:rPr>
          <w:lang w:eastAsia="en-US" w:bidi="en-US"/>
        </w:rPr>
        <w:t xml:space="preserve"> (acte II)</w:t>
      </w:r>
      <w:r w:rsidRPr="004A2209">
        <w:rPr>
          <w:i/>
          <w:lang w:eastAsia="en-US" w:bidi="en-US"/>
        </w:rPr>
        <w:t> </w:t>
      </w:r>
      <w:r w:rsidRPr="004A2209">
        <w:rPr>
          <w:lang w:eastAsia="en-US" w:bidi="en-US"/>
        </w:rPr>
        <w:t>: un langage sensuel qui n’a plus vocation à exprimer une réalité spirituelle, mais est à recevoir dans sa signification propre.</w:t>
      </w:r>
    </w:p>
    <w:p w:rsidR="00D85A38" w:rsidRDefault="00B54F14" w:rsidP="00D85A38">
      <w:pPr>
        <w:rPr>
          <w:lang w:eastAsia="en-US" w:bidi="en-US"/>
        </w:rPr>
      </w:pPr>
      <w:r w:rsidRPr="004A2209">
        <w:rPr>
          <w:lang w:eastAsia="en-US" w:bidi="en-US"/>
        </w:rPr>
        <w:t xml:space="preserve">Quant à savoir s’il s’agit de la concupiscence au sens augustinien, </w:t>
      </w:r>
      <w:r w:rsidR="00D85A38" w:rsidRPr="004A2209">
        <w:rPr>
          <w:lang w:eastAsia="en-US" w:bidi="en-US"/>
        </w:rPr>
        <w:t>M.-È Alexandre</w:t>
      </w:r>
      <w:r w:rsidR="00F8137A">
        <w:rPr>
          <w:lang w:eastAsia="en-US" w:bidi="en-US"/>
        </w:rPr>
        <w:t xml:space="preserve"> ne tranche pas : la chair, du moins</w:t>
      </w:r>
      <w:r w:rsidRPr="004A2209">
        <w:rPr>
          <w:lang w:eastAsia="en-US" w:bidi="en-US"/>
        </w:rPr>
        <w:t xml:space="preserve"> dans </w:t>
      </w:r>
      <w:r w:rsidRPr="004A2209">
        <w:rPr>
          <w:i/>
          <w:lang w:eastAsia="en-US" w:bidi="en-US"/>
        </w:rPr>
        <w:t>L</w:t>
      </w:r>
      <w:r w:rsidR="00F8137A">
        <w:rPr>
          <w:i/>
          <w:lang w:eastAsia="en-US" w:bidi="en-US"/>
        </w:rPr>
        <w:t>SS</w:t>
      </w:r>
      <w:r w:rsidRPr="004A2209">
        <w:rPr>
          <w:lang w:eastAsia="en-US" w:bidi="en-US"/>
        </w:rPr>
        <w:t>, est toujours liée à l’âme</w:t>
      </w:r>
      <w:r w:rsidRPr="004A2209">
        <w:rPr>
          <w:rStyle w:val="Appelnotedebasdep"/>
          <w:lang w:eastAsia="en-US" w:bidi="en-US"/>
        </w:rPr>
        <w:footnoteReference w:id="8"/>
      </w:r>
      <w:r w:rsidRPr="004A2209">
        <w:rPr>
          <w:lang w:eastAsia="en-US" w:bidi="en-US"/>
        </w:rPr>
        <w:t>, ou du moins en l’exclut pas. Et, pour Claudel, elle renvoie toujours à « quelque chose qui est au-dessus des sens […] ce grand appétit de bonheur qui fait le fonds de la nature humaine »</w:t>
      </w:r>
      <w:r w:rsidRPr="004A2209">
        <w:rPr>
          <w:rStyle w:val="Appelnotedebasdep"/>
          <w:lang w:eastAsia="en-US" w:bidi="en-US"/>
        </w:rPr>
        <w:footnoteReference w:id="9"/>
      </w:r>
      <w:r w:rsidRPr="004A2209">
        <w:rPr>
          <w:lang w:eastAsia="en-US" w:bidi="en-US"/>
        </w:rPr>
        <w:t>. Ce qui est sûr, c’est que le désir</w:t>
      </w:r>
      <w:r w:rsidR="00143ED9">
        <w:rPr>
          <w:lang w:eastAsia="en-US" w:bidi="en-US"/>
        </w:rPr>
        <w:t xml:space="preserve"> d’une union </w:t>
      </w:r>
      <w:r w:rsidRPr="004A2209">
        <w:rPr>
          <w:lang w:eastAsia="en-US" w:bidi="en-US"/>
        </w:rPr>
        <w:t xml:space="preserve">conduit </w:t>
      </w:r>
      <w:r w:rsidR="00143ED9">
        <w:rPr>
          <w:lang w:eastAsia="en-US" w:bidi="en-US"/>
        </w:rPr>
        <w:t>dans les deux drames</w:t>
      </w:r>
      <w:r w:rsidRPr="004A2209">
        <w:rPr>
          <w:lang w:eastAsia="en-US" w:bidi="en-US"/>
        </w:rPr>
        <w:t xml:space="preserve"> à une union tronquée, </w:t>
      </w:r>
      <w:r w:rsidR="00143ED9">
        <w:rPr>
          <w:lang w:eastAsia="en-US" w:bidi="en-US"/>
        </w:rPr>
        <w:t xml:space="preserve">celle de la chair, dans </w:t>
      </w:r>
      <w:r w:rsidR="00143ED9">
        <w:rPr>
          <w:i/>
          <w:lang w:eastAsia="en-US" w:bidi="en-US"/>
        </w:rPr>
        <w:t>LPM</w:t>
      </w:r>
      <w:r w:rsidR="00143ED9">
        <w:rPr>
          <w:rStyle w:val="Appelnotedebasdep"/>
          <w:i/>
          <w:lang w:eastAsia="en-US" w:bidi="en-US"/>
        </w:rPr>
        <w:footnoteReference w:id="10"/>
      </w:r>
      <w:r w:rsidR="00143ED9">
        <w:rPr>
          <w:lang w:eastAsia="en-US" w:bidi="en-US"/>
        </w:rPr>
        <w:t xml:space="preserve">, celle de l’âme dans </w:t>
      </w:r>
      <w:r w:rsidR="00143ED9">
        <w:rPr>
          <w:i/>
          <w:lang w:eastAsia="en-US" w:bidi="en-US"/>
        </w:rPr>
        <w:t>LSS</w:t>
      </w:r>
      <w:r w:rsidR="00143ED9">
        <w:rPr>
          <w:lang w:eastAsia="en-US" w:bidi="en-US"/>
        </w:rPr>
        <w:t>.</w:t>
      </w:r>
      <w:r w:rsidR="00143ED9">
        <w:rPr>
          <w:i/>
          <w:lang w:eastAsia="en-US" w:bidi="en-US"/>
        </w:rPr>
        <w:t xml:space="preserve"> </w:t>
      </w:r>
      <w:r w:rsidR="00143ED9">
        <w:rPr>
          <w:lang w:eastAsia="en-US" w:bidi="en-US"/>
        </w:rPr>
        <w:t>Dans les deux cas la chair est marquée par l’interdiction et la possession conduit – conduirait à la mort.</w:t>
      </w:r>
      <w:r w:rsidRPr="004A2209">
        <w:rPr>
          <w:lang w:eastAsia="en-US" w:bidi="en-US"/>
        </w:rPr>
        <w:t xml:space="preserve"> La femme, dans </w:t>
      </w:r>
      <w:r w:rsidRPr="004A2209">
        <w:rPr>
          <w:i/>
          <w:lang w:eastAsia="en-US" w:bidi="en-US"/>
        </w:rPr>
        <w:t xml:space="preserve">LSS </w:t>
      </w:r>
      <w:r w:rsidRPr="004A2209">
        <w:rPr>
          <w:lang w:eastAsia="en-US" w:bidi="en-US"/>
        </w:rPr>
        <w:t xml:space="preserve">comme dans </w:t>
      </w:r>
      <w:r w:rsidRPr="004A2209">
        <w:rPr>
          <w:i/>
          <w:lang w:eastAsia="en-US" w:bidi="en-US"/>
        </w:rPr>
        <w:t>LPM</w:t>
      </w:r>
      <w:r w:rsidRPr="004A2209">
        <w:rPr>
          <w:lang w:eastAsia="en-US" w:bidi="en-US"/>
        </w:rPr>
        <w:t xml:space="preserve">, </w:t>
      </w:r>
      <w:r w:rsidR="00E1751E" w:rsidRPr="004A2209">
        <w:rPr>
          <w:lang w:eastAsia="en-US" w:bidi="en-US"/>
        </w:rPr>
        <w:t xml:space="preserve">ne peut ou </w:t>
      </w:r>
      <w:r w:rsidRPr="004A2209">
        <w:rPr>
          <w:lang w:eastAsia="en-US" w:bidi="en-US"/>
        </w:rPr>
        <w:t>refuse de se donner tout entière.</w:t>
      </w:r>
      <w:r w:rsidR="00E1751E" w:rsidRPr="004A2209">
        <w:rPr>
          <w:lang w:eastAsia="en-US" w:bidi="en-US"/>
        </w:rPr>
        <w:t xml:space="preserve"> Ce que Pélage rappelle à Prouhèze, lorsqu’elle exprime son désir de donner son âme à Rodrigue, a des échos pauliniens : elle ne peut donner que ce dont </w:t>
      </w:r>
      <w:r w:rsidR="00E1751E" w:rsidRPr="004A2209">
        <w:rPr>
          <w:lang w:eastAsia="en-US" w:bidi="en-US"/>
        </w:rPr>
        <w:lastRenderedPageBreak/>
        <w:t>elle dispose. Or c’est lui-même, son mari, qui seul dispose de son âme à elle, confiée à lui par le lien sacramentel du mariage.</w:t>
      </w:r>
    </w:p>
    <w:p w:rsidR="00E1751E" w:rsidRDefault="00E1751E" w:rsidP="00D85A38">
      <w:pPr>
        <w:rPr>
          <w:lang w:eastAsia="en-US" w:bidi="en-US"/>
        </w:rPr>
      </w:pPr>
      <w:r w:rsidRPr="004A2209">
        <w:rPr>
          <w:lang w:eastAsia="en-US" w:bidi="en-US"/>
        </w:rPr>
        <w:t>Lorsque le combat entre chair et esprit n’est pas mené correctement, il aboutit à la mort. Du moins, pour obtenir la libération de l’âme, est-il nécessaire de briser le corps, qui reste un obstacle</w:t>
      </w:r>
      <w:r w:rsidRPr="004A2209">
        <w:rPr>
          <w:rStyle w:val="Appelnotedebasdep"/>
          <w:lang w:eastAsia="en-US" w:bidi="en-US"/>
        </w:rPr>
        <w:footnoteReference w:id="11"/>
      </w:r>
      <w:r w:rsidRPr="004A2209">
        <w:rPr>
          <w:lang w:eastAsia="en-US" w:bidi="en-US"/>
        </w:rPr>
        <w:t>. Ysé souhaite, elle aussi, la destruction de son corps pour obtenir la libération spirituelle de son amant.</w:t>
      </w:r>
    </w:p>
    <w:p w:rsidR="00E1751E" w:rsidRPr="004A2209" w:rsidRDefault="00E1751E" w:rsidP="00E1751E">
      <w:pPr>
        <w:pStyle w:val="Titre2"/>
        <w:rPr>
          <w:lang w:val="fr-FR"/>
        </w:rPr>
      </w:pPr>
      <w:r w:rsidRPr="004A2209">
        <w:rPr>
          <w:lang w:val="fr-FR"/>
        </w:rPr>
        <w:t>Une spiritualisation du corps et du désir</w:t>
      </w:r>
    </w:p>
    <w:p w:rsidR="00E1751E" w:rsidRPr="004A2209" w:rsidRDefault="00143ED9" w:rsidP="00E1751E">
      <w:pPr>
        <w:rPr>
          <w:lang w:eastAsia="en-US" w:bidi="en-US"/>
        </w:rPr>
      </w:pPr>
      <w:r>
        <w:rPr>
          <w:lang w:eastAsia="en-US" w:bidi="en-US"/>
        </w:rPr>
        <w:t xml:space="preserve">Une différence fondamentale intervient avec </w:t>
      </w:r>
      <w:r>
        <w:rPr>
          <w:i/>
          <w:lang w:eastAsia="en-US" w:bidi="en-US"/>
        </w:rPr>
        <w:t>LSS </w:t>
      </w:r>
      <w:r>
        <w:rPr>
          <w:lang w:eastAsia="en-US" w:bidi="en-US"/>
        </w:rPr>
        <w:t>: le désir y con</w:t>
      </w:r>
      <w:r w:rsidR="00E1751E" w:rsidRPr="004A2209">
        <w:rPr>
          <w:lang w:eastAsia="en-US" w:bidi="en-US"/>
        </w:rPr>
        <w:t xml:space="preserve">duit non vers la mort mais vers la vie. Il pourrait y avoir une bonne « concupiscence », </w:t>
      </w:r>
      <w:r>
        <w:rPr>
          <w:lang w:eastAsia="en-US" w:bidi="en-US"/>
        </w:rPr>
        <w:t>qui serait un désir purifié pour le « corps », un corps délivré de la chair et promis à la résurrection</w:t>
      </w:r>
      <w:r w:rsidR="00E1751E" w:rsidRPr="004A2209">
        <w:rPr>
          <w:lang w:eastAsia="en-US" w:bidi="en-US"/>
        </w:rPr>
        <w:t>. Dans cette perspective Claudel prolonge la pensée d’Augustin, et la dépasse</w:t>
      </w:r>
      <w:r>
        <w:rPr>
          <w:lang w:eastAsia="en-US" w:bidi="en-US"/>
        </w:rPr>
        <w:t>. Pour Augustin, en effet, il existe certes une « bonne » concupiscence, qui cependant ne peut avoir que Dieu pour objet, en aucun cas le corps</w:t>
      </w:r>
      <w:r w:rsidR="00E1751E" w:rsidRPr="004A2209">
        <w:rPr>
          <w:lang w:eastAsia="en-US" w:bidi="en-US"/>
        </w:rPr>
        <w:t>.</w:t>
      </w:r>
    </w:p>
    <w:p w:rsidR="00E1751E" w:rsidRPr="004A2209" w:rsidRDefault="00E1751E" w:rsidP="00E1751E">
      <w:pPr>
        <w:rPr>
          <w:lang w:eastAsia="en-US" w:bidi="en-US"/>
        </w:rPr>
      </w:pPr>
      <w:r w:rsidRPr="004A2209">
        <w:rPr>
          <w:i/>
          <w:lang w:eastAsia="en-US" w:bidi="en-US"/>
        </w:rPr>
        <w:t>LSS</w:t>
      </w:r>
      <w:r w:rsidRPr="004A2209">
        <w:rPr>
          <w:lang w:eastAsia="en-US" w:bidi="en-US"/>
        </w:rPr>
        <w:t xml:space="preserve"> offre dans certaines scènes une figuration du corps hors du péché, un corps dans lequel serait rétabli la </w:t>
      </w:r>
      <w:r w:rsidRPr="004A2209">
        <w:rPr>
          <w:i/>
          <w:lang w:eastAsia="en-US" w:bidi="en-US"/>
        </w:rPr>
        <w:t>concordia</w:t>
      </w:r>
      <w:r w:rsidRPr="004A2209">
        <w:rPr>
          <w:lang w:eastAsia="en-US" w:bidi="en-US"/>
        </w:rPr>
        <w:t xml:space="preserve"> qui unissait harmonieusement corps et âme au Paradis terrestre, avant le péché originel</w:t>
      </w:r>
      <w:r w:rsidRPr="004A2209">
        <w:rPr>
          <w:rStyle w:val="Appelnotedebasdep"/>
          <w:lang w:eastAsia="en-US" w:bidi="en-US"/>
        </w:rPr>
        <w:footnoteReference w:id="12"/>
      </w:r>
      <w:r w:rsidRPr="004A2209">
        <w:rPr>
          <w:lang w:eastAsia="en-US" w:bidi="en-US"/>
        </w:rPr>
        <w:t>. Une hypothèse que M.-È Alexandre offre au débat est qu’il y aurait une répartition lexicale entre corps et chair, le premier terme renvoyant à la théologie paulinienne du Corps mystique</w:t>
      </w:r>
      <w:r w:rsidR="00127BA3" w:rsidRPr="004A2209">
        <w:rPr>
          <w:lang w:eastAsia="en-US" w:bidi="en-US"/>
        </w:rPr>
        <w:t>, qui rejoint la réflexion sur l’union sponsale du Christ et de l’</w:t>
      </w:r>
      <w:r w:rsidR="00127BA3" w:rsidRPr="004A2209">
        <w:rPr>
          <w:rFonts w:cs="Times New Roman"/>
          <w:lang w:eastAsia="en-US" w:bidi="en-US"/>
        </w:rPr>
        <w:t>É</w:t>
      </w:r>
      <w:r w:rsidR="00127BA3" w:rsidRPr="004A2209">
        <w:rPr>
          <w:lang w:eastAsia="en-US" w:bidi="en-US"/>
        </w:rPr>
        <w:t>glise et touche également au dogme de la résurrection des corps ; le second renvoyant à ce qui est corruptible, marqué par le péché.</w:t>
      </w:r>
    </w:p>
    <w:p w:rsidR="006335B3" w:rsidRDefault="00127BA3" w:rsidP="00E1751E">
      <w:pPr>
        <w:rPr>
          <w:lang w:eastAsia="en-US" w:bidi="en-US"/>
        </w:rPr>
      </w:pPr>
      <w:r w:rsidRPr="004A2209">
        <w:rPr>
          <w:lang w:eastAsia="en-US" w:bidi="en-US"/>
        </w:rPr>
        <w:t>Le corps de la femme, chez Claudel – et en cela il se démarque fondamentalement d’Augustin – est une voie de salut pour l’homme : c’est elle qui est chargée de rouvrir le Paradis, dans la mesure où l’amour humain peut recréer le paradis perdu – ou plutôt anticiper le paradis promis</w:t>
      </w:r>
      <w:r w:rsidR="006335B3">
        <w:rPr>
          <w:lang w:eastAsia="en-US" w:bidi="en-US"/>
        </w:rPr>
        <w:t>. Le Paradis prend une importance grandissante, dans la mesure où il représente un état du corps particulier, hors du péché. Comme le montre la scène de Sept-</w:t>
      </w:r>
      <w:r w:rsidR="006335B3" w:rsidRPr="006335B3">
        <w:rPr>
          <w:rFonts w:cs="Times New Roman"/>
          <w:lang w:eastAsia="en-US" w:bidi="en-US"/>
        </w:rPr>
        <w:t>É</w:t>
      </w:r>
      <w:r w:rsidR="006335B3">
        <w:rPr>
          <w:lang w:eastAsia="en-US" w:bidi="en-US"/>
        </w:rPr>
        <w:t>pée avec la Bouchère, le corps obéit sans conflit à l’âme ; désir de la chair et désir de l’âme sont parfaitement compatibles – d’où la formulation :</w:t>
      </w:r>
    </w:p>
    <w:p w:rsidR="00127BA3" w:rsidRPr="004A2209" w:rsidRDefault="00127BA3" w:rsidP="00127BA3">
      <w:pPr>
        <w:pStyle w:val="Citation"/>
      </w:pPr>
      <w:r w:rsidRPr="004A2209">
        <w:t>Le connais-tu à présent que l’homme et la femme ne pouvaient s’aimer ailleurs que dans le paradis ?</w:t>
      </w:r>
      <w:r w:rsidRPr="004A2209">
        <w:rPr>
          <w:rStyle w:val="Appelnotedebasdep"/>
          <w:i w:val="0"/>
        </w:rPr>
        <w:footnoteReference w:id="13"/>
      </w:r>
    </w:p>
    <w:p w:rsidR="006335B3" w:rsidRDefault="006335B3" w:rsidP="00127BA3">
      <w:pPr>
        <w:rPr>
          <w:rFonts w:cs="Tahoma"/>
          <w:iCs/>
          <w:color w:val="000000" w:themeColor="text1"/>
          <w:sz w:val="22"/>
          <w:szCs w:val="20"/>
          <w:lang w:eastAsia="en-US" w:bidi="ar-SA"/>
        </w:rPr>
      </w:pPr>
      <w:r>
        <w:rPr>
          <w:rFonts w:cs="Tahoma"/>
          <w:iCs/>
          <w:color w:val="000000" w:themeColor="text1"/>
          <w:sz w:val="22"/>
          <w:szCs w:val="20"/>
          <w:lang w:eastAsia="en-US" w:bidi="ar-SA"/>
        </w:rPr>
        <w:t>Une fois sorti du paradis, l’homme éprouve un conflit entre chair et âme. Mais la volupté, bonne en soi – ce que ne cautionnerait sans doute pas Augustin – est une forme d’anticipation du Paradis.</w:t>
      </w:r>
    </w:p>
    <w:p w:rsidR="006335B3" w:rsidRDefault="00127BA3" w:rsidP="00466B7F">
      <w:r w:rsidRPr="004A2209">
        <w:rPr>
          <w:rFonts w:cs="Tahoma"/>
          <w:iCs/>
          <w:color w:val="000000" w:themeColor="text1"/>
          <w:sz w:val="22"/>
          <w:szCs w:val="20"/>
          <w:lang w:eastAsia="en-US" w:bidi="ar-SA"/>
        </w:rPr>
        <w:t>Et Sept-</w:t>
      </w:r>
      <w:r w:rsidRPr="004A2209">
        <w:rPr>
          <w:rFonts w:cs="Times New Roman"/>
          <w:iCs/>
          <w:color w:val="000000" w:themeColor="text1"/>
          <w:sz w:val="22"/>
          <w:szCs w:val="20"/>
          <w:lang w:eastAsia="en-US" w:bidi="ar-SA"/>
        </w:rPr>
        <w:t>É</w:t>
      </w:r>
      <w:r w:rsidRPr="004A2209">
        <w:rPr>
          <w:rFonts w:cs="Tahoma"/>
          <w:iCs/>
          <w:color w:val="000000" w:themeColor="text1"/>
          <w:sz w:val="22"/>
          <w:szCs w:val="20"/>
          <w:lang w:eastAsia="en-US" w:bidi="ar-SA"/>
        </w:rPr>
        <w:t xml:space="preserve">pée, l’enfant de Prouhèze et Camille qui ressemble à Rodrigue, serait alors le fruit </w:t>
      </w:r>
      <w:r w:rsidR="006335B3">
        <w:rPr>
          <w:rFonts w:cs="Tahoma"/>
          <w:iCs/>
          <w:color w:val="000000" w:themeColor="text1"/>
          <w:sz w:val="22"/>
          <w:szCs w:val="20"/>
          <w:lang w:eastAsia="en-US" w:bidi="ar-SA"/>
        </w:rPr>
        <w:t xml:space="preserve">charnel d’une union spirituelle, celle de </w:t>
      </w:r>
      <w:r w:rsidRPr="004A2209">
        <w:rPr>
          <w:rFonts w:cs="Tahoma"/>
          <w:iCs/>
          <w:color w:val="000000" w:themeColor="text1"/>
          <w:sz w:val="22"/>
          <w:szCs w:val="20"/>
          <w:lang w:eastAsia="en-US" w:bidi="ar-SA"/>
        </w:rPr>
        <w:t xml:space="preserve">Rodrigue </w:t>
      </w:r>
      <w:r w:rsidR="006335B3">
        <w:rPr>
          <w:rFonts w:cs="Tahoma"/>
          <w:iCs/>
          <w:color w:val="000000" w:themeColor="text1"/>
          <w:sz w:val="22"/>
          <w:szCs w:val="20"/>
          <w:lang w:eastAsia="en-US" w:bidi="ar-SA"/>
        </w:rPr>
        <w:t xml:space="preserve">et Prouhèze. Cette union spirituelle est similaire à celle qui caractérise selon Augustin l’amour d’Adam et </w:t>
      </w:r>
      <w:r w:rsidR="006335B3" w:rsidRPr="006335B3">
        <w:rPr>
          <w:rFonts w:cs="Tahoma"/>
          <w:iCs/>
          <w:color w:val="000000" w:themeColor="text1"/>
          <w:sz w:val="22"/>
          <w:szCs w:val="20"/>
          <w:lang w:eastAsia="en-US" w:bidi="ar-SA"/>
        </w:rPr>
        <w:t>È</w:t>
      </w:r>
      <w:r w:rsidR="006335B3">
        <w:rPr>
          <w:rFonts w:cs="Tahoma"/>
          <w:iCs/>
          <w:color w:val="000000" w:themeColor="text1"/>
          <w:sz w:val="22"/>
          <w:szCs w:val="20"/>
          <w:lang w:eastAsia="en-US" w:bidi="ar-SA"/>
        </w:rPr>
        <w:t>ve.</w:t>
      </w:r>
      <w:r w:rsidRPr="004A2209">
        <w:rPr>
          <w:rFonts w:cs="Tahoma"/>
          <w:iCs/>
          <w:color w:val="000000" w:themeColor="text1"/>
          <w:sz w:val="22"/>
          <w:szCs w:val="20"/>
          <w:lang w:eastAsia="en-US" w:bidi="ar-SA"/>
        </w:rPr>
        <w:t xml:space="preserve"> La dimension spirituelle de Sept-</w:t>
      </w:r>
      <w:r w:rsidRPr="004A2209">
        <w:rPr>
          <w:rFonts w:cs="Times New Roman"/>
          <w:iCs/>
          <w:color w:val="000000" w:themeColor="text1"/>
          <w:sz w:val="22"/>
          <w:szCs w:val="20"/>
          <w:lang w:eastAsia="en-US" w:bidi="ar-SA"/>
        </w:rPr>
        <w:t>É</w:t>
      </w:r>
      <w:r w:rsidRPr="004A2209">
        <w:rPr>
          <w:rFonts w:cs="Tahoma"/>
          <w:iCs/>
          <w:color w:val="000000" w:themeColor="text1"/>
          <w:sz w:val="22"/>
          <w:szCs w:val="20"/>
          <w:lang w:eastAsia="en-US" w:bidi="ar-SA"/>
        </w:rPr>
        <w:t>p</w:t>
      </w:r>
      <w:r w:rsidR="006335B3">
        <w:rPr>
          <w:rFonts w:cs="Tahoma"/>
          <w:iCs/>
          <w:color w:val="000000" w:themeColor="text1"/>
          <w:sz w:val="22"/>
          <w:szCs w:val="20"/>
          <w:lang w:eastAsia="en-US" w:bidi="ar-SA"/>
        </w:rPr>
        <w:t xml:space="preserve">ée apparaît dans la scène </w:t>
      </w:r>
      <w:r w:rsidRPr="004A2209">
        <w:rPr>
          <w:rFonts w:cs="Tahoma"/>
          <w:iCs/>
          <w:color w:val="000000" w:themeColor="text1"/>
          <w:sz w:val="22"/>
          <w:szCs w:val="20"/>
          <w:lang w:eastAsia="en-US" w:bidi="ar-SA"/>
        </w:rPr>
        <w:t>avec la Bouchère</w:t>
      </w:r>
      <w:r w:rsidR="006335B3">
        <w:rPr>
          <w:rStyle w:val="Appelnotedebasdep"/>
          <w:rFonts w:cs="Tahoma"/>
          <w:iCs/>
          <w:color w:val="000000" w:themeColor="text1"/>
          <w:szCs w:val="20"/>
          <w:lang w:eastAsia="en-US" w:bidi="ar-SA"/>
        </w:rPr>
        <w:footnoteReference w:id="14"/>
      </w:r>
      <w:r w:rsidRPr="004A2209">
        <w:rPr>
          <w:rFonts w:cs="Tahoma"/>
          <w:iCs/>
          <w:color w:val="000000" w:themeColor="text1"/>
          <w:sz w:val="22"/>
          <w:szCs w:val="20"/>
          <w:lang w:eastAsia="en-US" w:bidi="ar-SA"/>
        </w:rPr>
        <w:t>, dans laquelle elle expérimente ce qu’est un corps glorieux</w:t>
      </w:r>
      <w:r w:rsidRPr="004A2209">
        <w:rPr>
          <w:rStyle w:val="Appelnotedebasdep"/>
          <w:rFonts w:cs="Tahoma"/>
          <w:iCs/>
          <w:color w:val="000000" w:themeColor="text1"/>
          <w:szCs w:val="20"/>
          <w:lang w:eastAsia="en-US" w:bidi="ar-SA"/>
        </w:rPr>
        <w:footnoteReference w:id="15"/>
      </w:r>
      <w:r w:rsidRPr="004A2209">
        <w:rPr>
          <w:rFonts w:cs="Tahoma"/>
          <w:iCs/>
          <w:color w:val="000000" w:themeColor="text1"/>
          <w:sz w:val="22"/>
          <w:szCs w:val="20"/>
          <w:lang w:eastAsia="en-US" w:bidi="ar-SA"/>
        </w:rPr>
        <w:t xml:space="preserve">. Dans ces descriptions du corps Claudel </w:t>
      </w:r>
      <w:r w:rsidR="00466B7F">
        <w:rPr>
          <w:rFonts w:cs="Tahoma"/>
          <w:iCs/>
          <w:color w:val="000000" w:themeColor="text1"/>
          <w:sz w:val="22"/>
          <w:szCs w:val="20"/>
          <w:lang w:eastAsia="en-US" w:bidi="ar-SA"/>
        </w:rPr>
        <w:t xml:space="preserve">reprend la distinction paulinienne entre « corps </w:t>
      </w:r>
      <w:r w:rsidR="00466B7F">
        <w:rPr>
          <w:rFonts w:cs="Tahoma"/>
          <w:iCs/>
          <w:color w:val="000000" w:themeColor="text1"/>
          <w:sz w:val="22"/>
          <w:szCs w:val="20"/>
          <w:lang w:eastAsia="en-US" w:bidi="ar-SA"/>
        </w:rPr>
        <w:lastRenderedPageBreak/>
        <w:t>animal » et « corps glorieux », mais s’éloigne de la « chair » pour passer au « corps. Il retrouve alors la richesse du schéma augustinien qui fond, en quelque sorte, les deux perspectives.</w:t>
      </w:r>
      <w:r w:rsidRPr="004A2209">
        <w:rPr>
          <w:rStyle w:val="Appelnotedebasdep"/>
          <w:rFonts w:cs="Tahoma"/>
          <w:iCs/>
          <w:color w:val="000000" w:themeColor="text1"/>
          <w:szCs w:val="20"/>
          <w:lang w:eastAsia="en-US" w:bidi="ar-SA"/>
        </w:rPr>
        <w:footnoteReference w:id="16"/>
      </w:r>
    </w:p>
    <w:p w:rsidR="00127BA3" w:rsidRPr="004A2209" w:rsidRDefault="00127BA3" w:rsidP="00127BA3">
      <w:pPr>
        <w:rPr>
          <w:rFonts w:cs="Tahoma"/>
          <w:iCs/>
          <w:color w:val="000000" w:themeColor="text1"/>
          <w:sz w:val="22"/>
          <w:szCs w:val="20"/>
          <w:lang w:eastAsia="en-US" w:bidi="ar-SA"/>
        </w:rPr>
      </w:pPr>
      <w:r w:rsidRPr="004A2209">
        <w:rPr>
          <w:rFonts w:cs="Tahoma"/>
          <w:iCs/>
          <w:color w:val="000000" w:themeColor="text1"/>
          <w:sz w:val="22"/>
          <w:szCs w:val="20"/>
          <w:lang w:eastAsia="en-US" w:bidi="ar-SA"/>
        </w:rPr>
        <w:t xml:space="preserve">En revanche l’orientation positive du désir puise dans la réflexion thomiste sur les causes : Rodrigue désire la </w:t>
      </w:r>
      <w:r w:rsidRPr="004A2209">
        <w:rPr>
          <w:rFonts w:cs="Tahoma"/>
          <w:i/>
          <w:iCs/>
          <w:color w:val="000000" w:themeColor="text1"/>
          <w:sz w:val="22"/>
          <w:szCs w:val="20"/>
          <w:lang w:eastAsia="en-US" w:bidi="ar-SA"/>
        </w:rPr>
        <w:t>cause</w:t>
      </w:r>
      <w:r w:rsidRPr="004A2209">
        <w:rPr>
          <w:rFonts w:cs="Tahoma"/>
          <w:iCs/>
          <w:color w:val="000000" w:themeColor="text1"/>
          <w:sz w:val="22"/>
          <w:szCs w:val="20"/>
          <w:lang w:eastAsia="en-US" w:bidi="ar-SA"/>
        </w:rPr>
        <w:t xml:space="preserve"> de Prouhèze, et vice-versa. Et ce désir vient de Dieu. Mais le désir de l’amour n’est bon qu’à la condition que l’âme soit refusée à l’autre, car elle n’appartient qu’à Dieu.</w:t>
      </w:r>
      <w:r w:rsidR="004A2209" w:rsidRPr="004A2209">
        <w:rPr>
          <w:rFonts w:cs="Tahoma"/>
          <w:iCs/>
          <w:color w:val="000000" w:themeColor="text1"/>
          <w:sz w:val="22"/>
          <w:szCs w:val="20"/>
          <w:lang w:eastAsia="en-US" w:bidi="ar-SA"/>
        </w:rPr>
        <w:t xml:space="preserve"> </w:t>
      </w:r>
      <w:r w:rsidR="004A2209" w:rsidRPr="004A2209">
        <w:rPr>
          <w:rFonts w:cs="Tahoma"/>
          <w:i/>
          <w:iCs/>
          <w:color w:val="000000" w:themeColor="text1"/>
          <w:sz w:val="22"/>
          <w:szCs w:val="20"/>
          <w:lang w:eastAsia="en-US" w:bidi="ar-SA"/>
        </w:rPr>
        <w:t xml:space="preserve">L’etiam peccata </w:t>
      </w:r>
      <w:r w:rsidR="004A2209" w:rsidRPr="004A2209">
        <w:rPr>
          <w:rFonts w:cs="Tahoma"/>
          <w:iCs/>
          <w:color w:val="000000" w:themeColor="text1"/>
          <w:sz w:val="22"/>
          <w:szCs w:val="20"/>
          <w:lang w:eastAsia="en-US" w:bidi="ar-SA"/>
        </w:rPr>
        <w:t>de l’épigraphe est-il à interprétation dans le sens d’un échange, d’un salut qui serait à payer d’un tel prix ? Mais le salut est accordé dans l’ascèse du désir, dans le détachement de son objet humain – l’homme, la femme – pour qu’il soit réorienté vers Dieu. L’amour peut alors devenir amour de la vie.</w:t>
      </w:r>
    </w:p>
    <w:p w:rsidR="00127BA3" w:rsidRPr="004A2209" w:rsidRDefault="004A2209" w:rsidP="00E1751E">
      <w:pPr>
        <w:rPr>
          <w:rFonts w:cs="Tahoma"/>
          <w:iCs/>
          <w:color w:val="000000" w:themeColor="text1"/>
          <w:sz w:val="22"/>
          <w:szCs w:val="20"/>
          <w:lang w:eastAsia="en-US" w:bidi="ar-SA"/>
        </w:rPr>
      </w:pPr>
      <w:r w:rsidRPr="004A2209">
        <w:rPr>
          <w:rFonts w:cs="Tahoma"/>
          <w:iCs/>
          <w:color w:val="000000" w:themeColor="text1"/>
          <w:sz w:val="22"/>
          <w:szCs w:val="20"/>
          <w:lang w:eastAsia="en-US" w:bidi="ar-SA"/>
        </w:rPr>
        <w:t>La réflexion que mène Claudel est donc complexe, elle reprend la pensée augustinienne mais actualise dans cette vie ce qu’Augustin ne pouvait penser que dans le cadre de la vie bienheureuse.</w:t>
      </w:r>
    </w:p>
    <w:p w:rsidR="004A2209" w:rsidRDefault="004A2209" w:rsidP="004A2209">
      <w:pPr>
        <w:pStyle w:val="Titre2"/>
        <w:rPr>
          <w:lang w:val="fr-FR"/>
        </w:rPr>
      </w:pPr>
      <w:r w:rsidRPr="004A2209">
        <w:rPr>
          <w:lang w:val="fr-FR"/>
        </w:rPr>
        <w:t>Dépassement d’Augustin: la chair de la femme comme puissance de salut et manifestation de l’âme</w:t>
      </w:r>
    </w:p>
    <w:p w:rsidR="004A2209" w:rsidRDefault="004A2209" w:rsidP="004A2209">
      <w:pPr>
        <w:rPr>
          <w:lang w:eastAsia="en-US" w:bidi="en-US"/>
        </w:rPr>
      </w:pPr>
      <w:r w:rsidRPr="004A2209">
        <w:rPr>
          <w:lang w:eastAsia="en-US" w:bidi="en-US"/>
        </w:rPr>
        <w:t>Chez Augustin, l’équivalence est nette entre homme = esprit et femme = chair, avec comme corollaire la soumission de la femme à l’homme</w:t>
      </w:r>
      <w:r w:rsidRPr="004A2209">
        <w:rPr>
          <w:rStyle w:val="Appelnotedebasdep"/>
          <w:lang w:eastAsia="en-US" w:bidi="en-US"/>
        </w:rPr>
        <w:footnoteReference w:id="17"/>
      </w:r>
      <w:r w:rsidRPr="004A2209">
        <w:rPr>
          <w:lang w:eastAsia="en-US" w:bidi="en-US"/>
        </w:rPr>
        <w:t xml:space="preserve">. Cette dimension est présente dans </w:t>
      </w:r>
      <w:r w:rsidRPr="004A2209">
        <w:rPr>
          <w:i/>
          <w:lang w:eastAsia="en-US" w:bidi="en-US"/>
        </w:rPr>
        <w:t>LPM</w:t>
      </w:r>
      <w:r w:rsidRPr="004A2209">
        <w:rPr>
          <w:lang w:eastAsia="en-US" w:bidi="en-US"/>
        </w:rPr>
        <w:t xml:space="preserve"> (Ysé se présentant comme la femme obéissante), mais </w:t>
      </w:r>
      <w:r w:rsidRPr="004A2209">
        <w:rPr>
          <w:i/>
          <w:lang w:eastAsia="en-US" w:bidi="en-US"/>
        </w:rPr>
        <w:t>LSS</w:t>
      </w:r>
      <w:r w:rsidRPr="004A2209">
        <w:rPr>
          <w:lang w:eastAsia="en-US" w:bidi="en-US"/>
        </w:rPr>
        <w:t xml:space="preserve"> donne une lumière nouvelle au problème</w:t>
      </w:r>
      <w:r w:rsidR="00143ED9">
        <w:rPr>
          <w:lang w:eastAsia="en-US" w:bidi="en-US"/>
        </w:rPr>
        <w:t xml:space="preserve">. Dans </w:t>
      </w:r>
      <w:r w:rsidR="00143ED9">
        <w:rPr>
          <w:i/>
          <w:lang w:eastAsia="en-US" w:bidi="en-US"/>
        </w:rPr>
        <w:t>LPM</w:t>
      </w:r>
      <w:r w:rsidR="00143ED9">
        <w:rPr>
          <w:lang w:eastAsia="en-US" w:bidi="en-US"/>
        </w:rPr>
        <w:t xml:space="preserve"> prévaut la chair, tandis que </w:t>
      </w:r>
      <w:r w:rsidR="00143ED9">
        <w:rPr>
          <w:i/>
          <w:lang w:eastAsia="en-US" w:bidi="en-US"/>
        </w:rPr>
        <w:t>LSS</w:t>
      </w:r>
      <w:r w:rsidR="00143ED9">
        <w:rPr>
          <w:lang w:eastAsia="en-US" w:bidi="en-US"/>
        </w:rPr>
        <w:t xml:space="preserve"> valorise le corps.</w:t>
      </w:r>
      <w:r w:rsidRPr="004A2209">
        <w:rPr>
          <w:lang w:eastAsia="en-US" w:bidi="en-US"/>
        </w:rPr>
        <w:t xml:space="preserve"> </w:t>
      </w:r>
      <w:r w:rsidR="006335B3">
        <w:rPr>
          <w:lang w:eastAsia="en-US" w:bidi="en-US"/>
        </w:rPr>
        <w:t>L</w:t>
      </w:r>
      <w:r w:rsidRPr="004A2209">
        <w:rPr>
          <w:lang w:eastAsia="en-US" w:bidi="en-US"/>
        </w:rPr>
        <w:t xml:space="preserve">a réécriture des années 1940 du </w:t>
      </w:r>
      <w:r w:rsidRPr="004A2209">
        <w:rPr>
          <w:i/>
          <w:lang w:eastAsia="en-US" w:bidi="en-US"/>
        </w:rPr>
        <w:t>Partage de Midi</w:t>
      </w:r>
      <w:r w:rsidR="006335B3">
        <w:rPr>
          <w:lang w:eastAsia="en-US" w:bidi="en-US"/>
        </w:rPr>
        <w:t xml:space="preserve"> reprend l’idée d’une chair de la femme source de salut</w:t>
      </w:r>
      <w:r>
        <w:rPr>
          <w:i/>
          <w:lang w:eastAsia="en-US" w:bidi="en-US"/>
        </w:rPr>
        <w:t> </w:t>
      </w:r>
      <w:r>
        <w:rPr>
          <w:lang w:eastAsia="en-US" w:bidi="en-US"/>
        </w:rPr>
        <w:t xml:space="preserve">: « La femme sert à exiger l’âme de l’homme » ; la femme représente l’intervention de la </w:t>
      </w:r>
      <w:r w:rsidR="00466B7F">
        <w:rPr>
          <w:lang w:eastAsia="en-US" w:bidi="en-US"/>
        </w:rPr>
        <w:t xml:space="preserve">grâce </w:t>
      </w:r>
      <w:r>
        <w:rPr>
          <w:lang w:eastAsia="en-US" w:bidi="en-US"/>
        </w:rPr>
        <w:t>dans la vie d’un homme</w:t>
      </w:r>
      <w:r w:rsidR="00466B7F">
        <w:rPr>
          <w:rStyle w:val="Appelnotedebasdep"/>
          <w:lang w:eastAsia="en-US" w:bidi="en-US"/>
        </w:rPr>
        <w:footnoteReference w:id="18"/>
      </w:r>
      <w:r>
        <w:rPr>
          <w:lang w:eastAsia="en-US" w:bidi="en-US"/>
        </w:rPr>
        <w:t xml:space="preserve">. En donnant à celui-ci le désir de quelque chose qu’elle ne peut remplir, elle lui ouvre la voie à la délivrance mystique. C’est ce qu’annonce le père Jésuite, dans la première scène du </w:t>
      </w:r>
      <w:r>
        <w:rPr>
          <w:i/>
          <w:lang w:eastAsia="en-US" w:bidi="en-US"/>
        </w:rPr>
        <w:t>SS </w:t>
      </w:r>
      <w:r>
        <w:rPr>
          <w:lang w:eastAsia="en-US" w:bidi="en-US"/>
        </w:rPr>
        <w:t xml:space="preserve">: ce que Rodrigue doit apprendre, c’est le désir. Car c’est ainsi que l’homme peut se mettre à la place de Dieu et apprendre ce que représente </w:t>
      </w:r>
      <w:r w:rsidRPr="004A2209">
        <w:rPr>
          <w:i/>
          <w:lang w:eastAsia="en-US" w:bidi="en-US"/>
        </w:rPr>
        <w:t>être désiré</w:t>
      </w:r>
      <w:r>
        <w:rPr>
          <w:lang w:eastAsia="en-US" w:bidi="en-US"/>
        </w:rPr>
        <w:t>.</w:t>
      </w:r>
    </w:p>
    <w:p w:rsidR="004A2209" w:rsidRPr="006335B3" w:rsidRDefault="004A2209" w:rsidP="004A2209">
      <w:pPr>
        <w:rPr>
          <w:lang w:eastAsia="en-US" w:bidi="en-US"/>
        </w:rPr>
      </w:pPr>
      <w:r>
        <w:rPr>
          <w:lang w:eastAsia="en-US" w:bidi="en-US"/>
        </w:rPr>
        <w:t xml:space="preserve">Question d’Emmanuelle </w:t>
      </w:r>
      <w:r w:rsidR="006335B3">
        <w:rPr>
          <w:lang w:eastAsia="en-US" w:bidi="en-US"/>
        </w:rPr>
        <w:t>Devaux</w:t>
      </w:r>
      <w:r>
        <w:rPr>
          <w:lang w:eastAsia="en-US" w:bidi="en-US"/>
        </w:rPr>
        <w:t xml:space="preserve"> sur la </w:t>
      </w:r>
      <w:r w:rsidR="006335B3">
        <w:rPr>
          <w:lang w:eastAsia="en-US" w:bidi="en-US"/>
        </w:rPr>
        <w:t xml:space="preserve">sensualité dans </w:t>
      </w:r>
      <w:r w:rsidR="006335B3">
        <w:rPr>
          <w:i/>
          <w:lang w:eastAsia="en-US" w:bidi="en-US"/>
        </w:rPr>
        <w:t>LSS </w:t>
      </w:r>
      <w:r w:rsidR="006335B3">
        <w:rPr>
          <w:lang w:eastAsia="en-US" w:bidi="en-US"/>
        </w:rPr>
        <w:t>: pertinence d’une référence à Rubens, pour l’exaltation chrétienne de la chair ?</w:t>
      </w:r>
    </w:p>
    <w:p w:rsidR="004A2209" w:rsidRDefault="004A2209" w:rsidP="004A2209">
      <w:pPr>
        <w:rPr>
          <w:lang w:eastAsia="en-US" w:bidi="en-US"/>
        </w:rPr>
      </w:pPr>
      <w:r w:rsidRPr="004A2209">
        <w:rPr>
          <w:lang w:eastAsia="en-US" w:bidi="en-US"/>
        </w:rPr>
        <w:t>M.-È Alexandre</w:t>
      </w:r>
      <w:r>
        <w:rPr>
          <w:lang w:eastAsia="en-US" w:bidi="en-US"/>
        </w:rPr>
        <w:t xml:space="preserve"> </w:t>
      </w:r>
      <w:r w:rsidR="006335B3">
        <w:rPr>
          <w:lang w:eastAsia="en-US" w:bidi="en-US"/>
        </w:rPr>
        <w:t xml:space="preserve">acquiesce, </w:t>
      </w:r>
      <w:r>
        <w:rPr>
          <w:lang w:eastAsia="en-US" w:bidi="en-US"/>
        </w:rPr>
        <w:t>soulign</w:t>
      </w:r>
      <w:r w:rsidR="006335B3">
        <w:rPr>
          <w:lang w:eastAsia="en-US" w:bidi="en-US"/>
        </w:rPr>
        <w:t xml:space="preserve">ant effectivement </w:t>
      </w:r>
      <w:r>
        <w:rPr>
          <w:lang w:eastAsia="en-US" w:bidi="en-US"/>
        </w:rPr>
        <w:t>l’importance de la peinture sur la représentation du corps de la femme. L’exemple d’</w:t>
      </w:r>
      <w:r w:rsidRPr="004A2209">
        <w:rPr>
          <w:rFonts w:cs="Times New Roman"/>
          <w:lang w:eastAsia="en-US" w:bidi="en-US"/>
        </w:rPr>
        <w:t>É</w:t>
      </w:r>
      <w:r>
        <w:rPr>
          <w:lang w:eastAsia="en-US" w:bidi="en-US"/>
        </w:rPr>
        <w:t>ve montre comment, pour les peintres, le corps peut représenter l’âme.</w:t>
      </w:r>
    </w:p>
    <w:p w:rsidR="004A2209" w:rsidRDefault="004A2209" w:rsidP="004A2209">
      <w:pPr>
        <w:rPr>
          <w:lang w:eastAsia="en-US" w:bidi="en-US"/>
        </w:rPr>
      </w:pPr>
      <w:r>
        <w:rPr>
          <w:lang w:eastAsia="en-US" w:bidi="en-US"/>
        </w:rPr>
        <w:t>Question de Servane Michel</w:t>
      </w:r>
      <w:r w:rsidR="00AF7240">
        <w:rPr>
          <w:lang w:eastAsia="en-US" w:bidi="en-US"/>
        </w:rPr>
        <w:t xml:space="preserve"> : </w:t>
      </w:r>
      <w:r w:rsidR="00B839EA">
        <w:rPr>
          <w:lang w:eastAsia="en-US" w:bidi="en-US"/>
        </w:rPr>
        <w:t>la divergence fondamentale entre Claudel et Augustin ne vient-elle pas de ce qu’Augustin condamne la représentation théâtrale comme source d’illusion et d’égarement pour le désir ?</w:t>
      </w:r>
    </w:p>
    <w:p w:rsidR="00B839EA" w:rsidRDefault="00B839EA" w:rsidP="004A2209">
      <w:pPr>
        <w:rPr>
          <w:lang w:eastAsia="en-US" w:bidi="en-US"/>
        </w:rPr>
      </w:pPr>
      <w:r w:rsidRPr="004A2209">
        <w:rPr>
          <w:lang w:eastAsia="en-US" w:bidi="en-US"/>
        </w:rPr>
        <w:t>M.-È Alexandre</w:t>
      </w:r>
      <w:r>
        <w:rPr>
          <w:lang w:eastAsia="en-US" w:bidi="en-US"/>
        </w:rPr>
        <w:t xml:space="preserve"> répond que, pour </w:t>
      </w:r>
      <w:r>
        <w:rPr>
          <w:i/>
          <w:lang w:eastAsia="en-US" w:bidi="en-US"/>
        </w:rPr>
        <w:t>LPM</w:t>
      </w:r>
      <w:r>
        <w:rPr>
          <w:lang w:eastAsia="en-US" w:bidi="en-US"/>
        </w:rPr>
        <w:t xml:space="preserve">, le substrat autobiographique est tel qu’il ne peut y avoir de méprise. Quant au </w:t>
      </w:r>
      <w:r>
        <w:rPr>
          <w:i/>
          <w:lang w:eastAsia="en-US" w:bidi="en-US"/>
        </w:rPr>
        <w:t>SS</w:t>
      </w:r>
      <w:r>
        <w:rPr>
          <w:lang w:eastAsia="en-US" w:bidi="en-US"/>
        </w:rPr>
        <w:t>, la mise à distance est produite, et volontairement accentuée, par les indications de mise en scène, de manière justement à échapper à toute illusion dramatique. De plus, Augustin serait d’accord avec Claudel pour reconnaître qu’il existe différents niveaux de signification.</w:t>
      </w:r>
    </w:p>
    <w:p w:rsidR="00B839EA" w:rsidRDefault="00B839EA" w:rsidP="00B839EA">
      <w:pPr>
        <w:pStyle w:val="Titre1"/>
      </w:pPr>
      <w:r>
        <w:lastRenderedPageBreak/>
        <w:t>La scène de la lune</w:t>
      </w:r>
    </w:p>
    <w:p w:rsidR="00B839EA" w:rsidRDefault="00B839EA" w:rsidP="00B839EA">
      <w:pPr>
        <w:rPr>
          <w:lang w:eastAsia="en-US" w:bidi="en-US"/>
        </w:rPr>
      </w:pPr>
      <w:r>
        <w:rPr>
          <w:lang w:eastAsia="en-US" w:bidi="en-US"/>
        </w:rPr>
        <w:t xml:space="preserve">Graciane </w:t>
      </w:r>
      <w:r w:rsidRPr="00B839EA">
        <w:rPr>
          <w:smallCaps/>
          <w:lang w:eastAsia="en-US" w:bidi="en-US"/>
        </w:rPr>
        <w:t>Laussucq-Dhiriart</w:t>
      </w:r>
      <w:r>
        <w:rPr>
          <w:rStyle w:val="Appelnotedebasdep"/>
          <w:smallCaps/>
          <w:lang w:eastAsia="en-US" w:bidi="en-US"/>
        </w:rPr>
        <w:footnoteReference w:id="19"/>
      </w:r>
      <w:r>
        <w:rPr>
          <w:smallCaps/>
          <w:lang w:eastAsia="en-US" w:bidi="en-US"/>
        </w:rPr>
        <w:t xml:space="preserve"> </w:t>
      </w:r>
      <w:r>
        <w:rPr>
          <w:lang w:eastAsia="en-US" w:bidi="en-US"/>
        </w:rPr>
        <w:t xml:space="preserve">présente un commentaire de cette scène centrale du </w:t>
      </w:r>
      <w:r>
        <w:rPr>
          <w:i/>
          <w:lang w:eastAsia="en-US" w:bidi="en-US"/>
        </w:rPr>
        <w:t>SS</w:t>
      </w:r>
      <w:r>
        <w:rPr>
          <w:lang w:eastAsia="en-US" w:bidi="en-US"/>
        </w:rPr>
        <w:t>. Elle montre comment l’atmosphère onirique créée sur scène traduit une réalité spirituelle. La scène manifeste comment Rodrigue ne peut être donné à Dieu que s’il est vidé ; comprendre ce processus est la voie qui permet de retrouver l’harmonie entre le corps et l’âme.</w:t>
      </w:r>
    </w:p>
    <w:p w:rsidR="00B839EA" w:rsidRDefault="00B839EA" w:rsidP="00B839EA">
      <w:pPr>
        <w:rPr>
          <w:lang w:eastAsia="en-US" w:bidi="en-US"/>
        </w:rPr>
      </w:pPr>
      <w:r>
        <w:rPr>
          <w:lang w:eastAsia="en-US" w:bidi="en-US"/>
        </w:rPr>
        <w:t>Question de Servane Michel : Augustin et Claudel semblent donc d’accord pour souligner l’insuffisance et la déception qui résultent du désir. Seulement le chemin pour se vider et arriver à Dieu ne serait pas le même, puisque Claudel accepte le plaisir charnel comme moyen.</w:t>
      </w:r>
    </w:p>
    <w:p w:rsidR="00B839EA" w:rsidRPr="00B839EA" w:rsidRDefault="00B839EA" w:rsidP="00B839EA">
      <w:pPr>
        <w:rPr>
          <w:smallCaps/>
          <w:lang w:eastAsia="en-US" w:bidi="en-US"/>
        </w:rPr>
      </w:pPr>
      <w:r>
        <w:rPr>
          <w:lang w:eastAsia="en-US" w:bidi="en-US"/>
        </w:rPr>
        <w:t xml:space="preserve">Réponse de </w:t>
      </w:r>
      <w:r w:rsidRPr="004A2209">
        <w:rPr>
          <w:lang w:eastAsia="en-US" w:bidi="en-US"/>
        </w:rPr>
        <w:t>M.-È Alexandre</w:t>
      </w:r>
      <w:r>
        <w:rPr>
          <w:lang w:eastAsia="en-US" w:bidi="en-US"/>
        </w:rPr>
        <w:t> : Non, il n’y a pas chez Claudel de condamnation du plaisir charnel. La volupté est une anticipation du ciel. En cela Claudel anticipe ce que l’</w:t>
      </w:r>
      <w:r w:rsidRPr="00B839EA">
        <w:rPr>
          <w:rFonts w:cs="Times New Roman"/>
          <w:lang w:eastAsia="en-US" w:bidi="en-US"/>
        </w:rPr>
        <w:t>É</w:t>
      </w:r>
      <w:r>
        <w:rPr>
          <w:lang w:eastAsia="en-US" w:bidi="en-US"/>
        </w:rPr>
        <w:t>glise catholique affirmera d’abord avec la pensée de Karol Wojtyla (futur pape Jean-Paul II), puis celle du Concile Vatican II, sur le mariage.</w:t>
      </w:r>
    </w:p>
    <w:p w:rsidR="00B839EA" w:rsidRPr="00B839EA" w:rsidRDefault="00B839EA" w:rsidP="00B839EA">
      <w:pPr>
        <w:rPr>
          <w:lang w:eastAsia="en-US" w:bidi="en-US"/>
        </w:rPr>
      </w:pPr>
    </w:p>
    <w:sectPr w:rsidR="00B839EA" w:rsidRPr="00B839EA" w:rsidSect="00375764">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24F" w:rsidRDefault="0057024F" w:rsidP="001B46E9">
      <w:pPr>
        <w:spacing w:before="0" w:after="0"/>
      </w:pPr>
      <w:r>
        <w:separator/>
      </w:r>
    </w:p>
  </w:endnote>
  <w:endnote w:type="continuationSeparator" w:id="0">
    <w:p w:rsidR="0057024F" w:rsidRDefault="0057024F" w:rsidP="001B46E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24F" w:rsidRDefault="0057024F" w:rsidP="001B46E9">
      <w:pPr>
        <w:spacing w:before="0" w:after="0"/>
      </w:pPr>
      <w:r>
        <w:separator/>
      </w:r>
    </w:p>
  </w:footnote>
  <w:footnote w:type="continuationSeparator" w:id="0">
    <w:p w:rsidR="0057024F" w:rsidRDefault="0057024F" w:rsidP="001B46E9">
      <w:pPr>
        <w:spacing w:before="0" w:after="0"/>
      </w:pPr>
      <w:r>
        <w:continuationSeparator/>
      </w:r>
    </w:p>
  </w:footnote>
  <w:footnote w:id="1">
    <w:p w:rsidR="00D8213A" w:rsidRPr="00D8213A" w:rsidRDefault="00D8213A" w:rsidP="00D8213A">
      <w:pPr>
        <w:pStyle w:val="Notedebasdepage"/>
        <w:rPr>
          <w:lang w:val="fr-FR"/>
        </w:rPr>
      </w:pPr>
      <w:r w:rsidRPr="00D8213A">
        <w:rPr>
          <w:rStyle w:val="Appelnotedebasdep"/>
        </w:rPr>
        <w:footnoteRef/>
      </w:r>
      <w:r w:rsidRPr="00D8213A">
        <w:t xml:space="preserve"> </w:t>
      </w:r>
      <w:r>
        <w:t>Professeur agrégée de Lettres modernes, auteur d’une thèse sur les traductions des psaumes par Claudel, sous la direction de Dominique Millet-Gérard, Université de Paris IV-Sorbonne (à paraître).</w:t>
      </w:r>
    </w:p>
  </w:footnote>
  <w:footnote w:id="2">
    <w:p w:rsidR="00D62CF9" w:rsidRPr="00D62CF9" w:rsidRDefault="00D62CF9">
      <w:pPr>
        <w:pStyle w:val="Notedebasdepage"/>
        <w:rPr>
          <w:lang w:val="fr-FR"/>
        </w:rPr>
      </w:pPr>
      <w:r>
        <w:rPr>
          <w:rStyle w:val="Appelnotedebasdep"/>
        </w:rPr>
        <w:footnoteRef/>
      </w:r>
      <w:r>
        <w:t xml:space="preserve"> </w:t>
      </w:r>
      <w:r>
        <w:rPr>
          <w:lang w:val="fr-FR"/>
        </w:rPr>
        <w:t xml:space="preserve">Aimé </w:t>
      </w:r>
      <w:r>
        <w:rPr>
          <w:smallCaps/>
          <w:lang w:bidi="en-US"/>
        </w:rPr>
        <w:t>Becker</w:t>
      </w:r>
      <w:r>
        <w:rPr>
          <w:lang w:val="fr-FR"/>
        </w:rPr>
        <w:t xml:space="preserve">, </w:t>
      </w:r>
      <w:r>
        <w:rPr>
          <w:i/>
          <w:lang w:val="fr-FR"/>
        </w:rPr>
        <w:t>Augustin et Claudel, une parenté spirituelle</w:t>
      </w:r>
      <w:r>
        <w:rPr>
          <w:lang w:val="fr-FR"/>
        </w:rPr>
        <w:t xml:space="preserve">, </w:t>
      </w:r>
      <w:r w:rsidR="00F8137A">
        <w:rPr>
          <w:lang w:val="fr-FR"/>
        </w:rPr>
        <w:t>Lethielleux, 1984.</w:t>
      </w:r>
    </w:p>
  </w:footnote>
  <w:footnote w:id="3">
    <w:p w:rsidR="00D62CF9" w:rsidRPr="00D62CF9" w:rsidRDefault="00D62CF9">
      <w:pPr>
        <w:pStyle w:val="Notedebasdepage"/>
        <w:rPr>
          <w:lang w:val="fr-FR"/>
        </w:rPr>
      </w:pPr>
      <w:r>
        <w:rPr>
          <w:rStyle w:val="Appelnotedebasdep"/>
        </w:rPr>
        <w:footnoteRef/>
      </w:r>
      <w:r>
        <w:t xml:space="preserve"> Pour une</w:t>
      </w:r>
      <w:r>
        <w:rPr>
          <w:lang w:val="fr-FR"/>
        </w:rPr>
        <w:t xml:space="preserve"> mise au point sur la question, voir Henri-Irénée </w:t>
      </w:r>
      <w:r>
        <w:rPr>
          <w:smallCaps/>
          <w:lang w:bidi="en-US"/>
        </w:rPr>
        <w:t>Marrou</w:t>
      </w:r>
      <w:r>
        <w:rPr>
          <w:lang w:val="fr-FR"/>
        </w:rPr>
        <w:t xml:space="preserve">, </w:t>
      </w:r>
      <w:r>
        <w:rPr>
          <w:i/>
          <w:lang w:val="fr-FR"/>
        </w:rPr>
        <w:t>Augustin et l’augustinisme</w:t>
      </w:r>
      <w:r>
        <w:rPr>
          <w:lang w:val="fr-FR"/>
        </w:rPr>
        <w:t>,</w:t>
      </w:r>
      <w:r w:rsidR="00F8137A">
        <w:rPr>
          <w:lang w:val="fr-FR"/>
        </w:rPr>
        <w:t xml:space="preserve"> Paris, Le Seuil, 1955, rééd. 2003 (« Points »).</w:t>
      </w:r>
    </w:p>
  </w:footnote>
  <w:footnote w:id="4">
    <w:p w:rsidR="00D85A38" w:rsidRPr="00D85A38" w:rsidRDefault="00D85A38">
      <w:pPr>
        <w:pStyle w:val="Notedebasdepage"/>
        <w:rPr>
          <w:lang w:val="fr-FR"/>
        </w:rPr>
      </w:pPr>
      <w:r>
        <w:rPr>
          <w:rStyle w:val="Appelnotedebasdep"/>
        </w:rPr>
        <w:footnoteRef/>
      </w:r>
      <w:r>
        <w:t xml:space="preserve"> </w:t>
      </w:r>
      <w:r>
        <w:rPr>
          <w:lang w:val="fr-FR"/>
        </w:rPr>
        <w:t xml:space="preserve">Textes de référence : </w:t>
      </w:r>
      <w:r w:rsidRPr="00D85A38">
        <w:rPr>
          <w:rFonts w:ascii="Times New Roman" w:hAnsi="Times New Roman" w:cs="Times New Roman"/>
          <w:i/>
          <w:lang w:val="fr-FR"/>
        </w:rPr>
        <w:t>É</w:t>
      </w:r>
      <w:r>
        <w:rPr>
          <w:i/>
          <w:lang w:val="fr-FR"/>
        </w:rPr>
        <w:t>pître aux Romains</w:t>
      </w:r>
      <w:r>
        <w:rPr>
          <w:lang w:val="fr-FR"/>
        </w:rPr>
        <w:t xml:space="preserve">, VII, 14-25 et VIII, 5-13 ; </w:t>
      </w:r>
      <w:r w:rsidRPr="00D85A38">
        <w:rPr>
          <w:rFonts w:ascii="Times New Roman" w:hAnsi="Times New Roman" w:cs="Times New Roman"/>
          <w:i/>
          <w:lang w:val="fr-FR"/>
        </w:rPr>
        <w:t>É</w:t>
      </w:r>
      <w:r>
        <w:rPr>
          <w:i/>
          <w:lang w:val="fr-FR"/>
        </w:rPr>
        <w:t>pître aux Galates</w:t>
      </w:r>
      <w:r>
        <w:rPr>
          <w:lang w:val="fr-FR"/>
        </w:rPr>
        <w:t>, V, 16-24 (un des text</w:t>
      </w:r>
      <w:r w:rsidR="00F8137A">
        <w:rPr>
          <w:lang w:val="fr-FR"/>
        </w:rPr>
        <w:t>es de prédilection d’Augustin)</w:t>
      </w:r>
      <w:r>
        <w:rPr>
          <w:lang w:val="fr-FR"/>
        </w:rPr>
        <w:t>.</w:t>
      </w:r>
    </w:p>
  </w:footnote>
  <w:footnote w:id="5">
    <w:p w:rsidR="00D85A38" w:rsidRPr="00D85A38" w:rsidRDefault="00D85A38">
      <w:pPr>
        <w:pStyle w:val="Notedebasdepage"/>
        <w:rPr>
          <w:lang w:val="fr-FR"/>
        </w:rPr>
      </w:pPr>
      <w:r>
        <w:rPr>
          <w:rStyle w:val="Appelnotedebasdep"/>
        </w:rPr>
        <w:footnoteRef/>
      </w:r>
      <w:r>
        <w:t xml:space="preserve"> </w:t>
      </w:r>
      <w:r>
        <w:rPr>
          <w:lang w:val="fr-FR"/>
        </w:rPr>
        <w:t xml:space="preserve">Voir </w:t>
      </w:r>
      <w:r>
        <w:rPr>
          <w:i/>
          <w:lang w:val="fr-FR"/>
        </w:rPr>
        <w:t>De continentia</w:t>
      </w:r>
      <w:r>
        <w:rPr>
          <w:lang w:val="fr-FR"/>
        </w:rPr>
        <w:t xml:space="preserve">, § 18 à 21 (pour ce texte d’Augustin et les suivants, la traduction utilisée est celle de l’abbé Raulx (1864-1873), disponible en ligne sur le site </w:t>
      </w:r>
      <w:hyperlink r:id="rId1" w:history="1">
        <w:r w:rsidRPr="00D85A38">
          <w:rPr>
            <w:rStyle w:val="Lienhypertexte"/>
            <w:lang w:val="fr-FR"/>
          </w:rPr>
          <w:t>http://www.augustinus.it</w:t>
        </w:r>
      </w:hyperlink>
      <w:r>
        <w:rPr>
          <w:lang w:val="fr-FR"/>
        </w:rPr>
        <w:t>).</w:t>
      </w:r>
    </w:p>
  </w:footnote>
  <w:footnote w:id="6">
    <w:p w:rsidR="00D85A38" w:rsidRPr="00D85A38" w:rsidRDefault="00D85A38">
      <w:pPr>
        <w:pStyle w:val="Notedebasdepage"/>
        <w:rPr>
          <w:lang w:val="fr-FR"/>
        </w:rPr>
      </w:pPr>
      <w:r>
        <w:rPr>
          <w:rStyle w:val="Appelnotedebasdep"/>
        </w:rPr>
        <w:footnoteRef/>
      </w:r>
      <w:r>
        <w:t xml:space="preserve"> </w:t>
      </w:r>
      <w:r>
        <w:rPr>
          <w:lang w:val="fr-FR"/>
        </w:rPr>
        <w:t xml:space="preserve">Voir en particulier </w:t>
      </w:r>
      <w:r>
        <w:rPr>
          <w:i/>
          <w:lang w:val="fr-FR"/>
        </w:rPr>
        <w:t>Du mariage et de la concupiscence</w:t>
      </w:r>
      <w:r>
        <w:rPr>
          <w:lang w:val="fr-FR"/>
        </w:rPr>
        <w:t>, § 9 et § 35.</w:t>
      </w:r>
    </w:p>
  </w:footnote>
  <w:footnote w:id="7">
    <w:p w:rsidR="00B54F14" w:rsidRPr="00B54F14" w:rsidRDefault="00B54F14">
      <w:pPr>
        <w:pStyle w:val="Notedebasdepage"/>
        <w:rPr>
          <w:lang w:val="fr-FR"/>
        </w:rPr>
      </w:pPr>
      <w:r>
        <w:rPr>
          <w:rStyle w:val="Appelnotedebasdep"/>
        </w:rPr>
        <w:footnoteRef/>
      </w:r>
      <w:r>
        <w:t xml:space="preserve"> </w:t>
      </w:r>
      <w:r>
        <w:rPr>
          <w:lang w:val="fr-FR"/>
        </w:rPr>
        <w:t xml:space="preserve">Ysé se désigne elle-même comme </w:t>
      </w:r>
      <w:r w:rsidR="00F8137A">
        <w:rPr>
          <w:lang w:val="fr-FR"/>
        </w:rPr>
        <w:t>un cheval : « j’ai été comme un cheval entre tes genoux (fin de l’acte III). Amalric dit d’elle au début de l’acte I : « C’est une jument de ta race »</w:t>
      </w:r>
      <w:r>
        <w:rPr>
          <w:lang w:val="fr-FR"/>
        </w:rPr>
        <w:t>.</w:t>
      </w:r>
    </w:p>
  </w:footnote>
  <w:footnote w:id="8">
    <w:p w:rsidR="00B54F14" w:rsidRPr="00B54F14" w:rsidRDefault="00B54F14">
      <w:pPr>
        <w:pStyle w:val="Notedebasdepage"/>
        <w:rPr>
          <w:lang w:val="fr-FR"/>
        </w:rPr>
      </w:pPr>
      <w:r>
        <w:rPr>
          <w:rStyle w:val="Appelnotedebasdep"/>
        </w:rPr>
        <w:footnoteRef/>
      </w:r>
      <w:r>
        <w:t xml:space="preserve"> </w:t>
      </w:r>
      <w:r w:rsidR="00F8137A">
        <w:t xml:space="preserve">Dans </w:t>
      </w:r>
      <w:r>
        <w:rPr>
          <w:i/>
          <w:lang w:val="fr-FR"/>
        </w:rPr>
        <w:t>LPM</w:t>
      </w:r>
      <w:r w:rsidR="00F8137A">
        <w:rPr>
          <w:lang w:val="fr-FR"/>
        </w:rPr>
        <w:t xml:space="preserve"> chair et âme sont dissociées, mais il existe un désir de l’âme</w:t>
      </w:r>
      <w:r>
        <w:rPr>
          <w:lang w:val="fr-FR"/>
        </w:rPr>
        <w:t>.</w:t>
      </w:r>
    </w:p>
  </w:footnote>
  <w:footnote w:id="9">
    <w:p w:rsidR="00B54F14" w:rsidRPr="00B54F14" w:rsidRDefault="00B54F14">
      <w:pPr>
        <w:pStyle w:val="Notedebasdepage"/>
        <w:rPr>
          <w:lang w:val="fr-FR"/>
        </w:rPr>
      </w:pPr>
      <w:r>
        <w:rPr>
          <w:rStyle w:val="Appelnotedebasdep"/>
        </w:rPr>
        <w:footnoteRef/>
      </w:r>
      <w:r>
        <w:t> </w:t>
      </w:r>
      <w:r w:rsidR="00F8137A">
        <w:rPr>
          <w:lang w:val="fr-FR"/>
        </w:rPr>
        <w:t>texte de 1916 (édition de la Pléiade, Théâtre II, p. 1337).</w:t>
      </w:r>
    </w:p>
  </w:footnote>
  <w:footnote w:id="10">
    <w:p w:rsidR="00143ED9" w:rsidRPr="00143ED9" w:rsidRDefault="00143ED9">
      <w:pPr>
        <w:pStyle w:val="Notedebasdepage"/>
        <w:rPr>
          <w:lang w:val="fr-FR"/>
        </w:rPr>
      </w:pPr>
      <w:r>
        <w:rPr>
          <w:rStyle w:val="Appelnotedebasdep"/>
        </w:rPr>
        <w:footnoteRef/>
      </w:r>
      <w:r>
        <w:t xml:space="preserve"> </w:t>
      </w:r>
      <w:r>
        <w:rPr>
          <w:lang w:val="fr-FR"/>
        </w:rPr>
        <w:t>Ysé souhaite la destruction des « vêtements de chair », et non pas seulement de son propre corps, pour pouvoir atteindre une communion des âmes.</w:t>
      </w:r>
    </w:p>
  </w:footnote>
  <w:footnote w:id="11">
    <w:p w:rsidR="00E1751E" w:rsidRPr="00E1751E" w:rsidRDefault="00E1751E">
      <w:pPr>
        <w:pStyle w:val="Notedebasdepage"/>
        <w:rPr>
          <w:lang w:val="fr-FR"/>
        </w:rPr>
      </w:pPr>
      <w:r>
        <w:rPr>
          <w:rStyle w:val="Appelnotedebasdep"/>
        </w:rPr>
        <w:footnoteRef/>
      </w:r>
      <w:r>
        <w:t xml:space="preserve"> </w:t>
      </w:r>
      <w:r>
        <w:rPr>
          <w:lang w:val="fr-FR"/>
        </w:rPr>
        <w:t>Exemple de Rodrigue privé d’une de ses jambes, « donné », à défaut de pouvoir être vendu, à la Sœur chiffonnière.</w:t>
      </w:r>
    </w:p>
  </w:footnote>
  <w:footnote w:id="12">
    <w:p w:rsidR="00E1751E" w:rsidRPr="00E1751E" w:rsidRDefault="00E1751E">
      <w:pPr>
        <w:pStyle w:val="Notedebasdepage"/>
        <w:rPr>
          <w:lang w:val="fr-FR"/>
        </w:rPr>
      </w:pPr>
      <w:r>
        <w:rPr>
          <w:rStyle w:val="Appelnotedebasdep"/>
        </w:rPr>
        <w:footnoteRef/>
      </w:r>
      <w:r>
        <w:t xml:space="preserve"> </w:t>
      </w:r>
      <w:r>
        <w:rPr>
          <w:lang w:val="fr-FR"/>
        </w:rPr>
        <w:t>cf les trois états du corps décrits par saint Paul (</w:t>
      </w:r>
      <w:r>
        <w:rPr>
          <w:i/>
          <w:lang w:val="fr-FR"/>
        </w:rPr>
        <w:t>I Cor</w:t>
      </w:r>
      <w:r>
        <w:rPr>
          <w:lang w:val="fr-FR"/>
        </w:rPr>
        <w:t xml:space="preserve"> XV) : avant le péché originel, après celui-ci et dans la résurrection de la chair.</w:t>
      </w:r>
    </w:p>
  </w:footnote>
  <w:footnote w:id="13">
    <w:p w:rsidR="00127BA3" w:rsidRPr="00127BA3" w:rsidRDefault="00127BA3">
      <w:pPr>
        <w:pStyle w:val="Notedebasdepage"/>
        <w:rPr>
          <w:lang w:val="fr-FR"/>
        </w:rPr>
      </w:pPr>
      <w:r>
        <w:rPr>
          <w:rStyle w:val="Appelnotedebasdep"/>
        </w:rPr>
        <w:footnoteRef/>
      </w:r>
      <w:r>
        <w:t xml:space="preserve"> </w:t>
      </w:r>
      <w:r>
        <w:rPr>
          <w:i/>
          <w:lang w:val="fr-FR"/>
        </w:rPr>
        <w:t>LSS</w:t>
      </w:r>
      <w:r>
        <w:rPr>
          <w:lang w:val="fr-FR"/>
        </w:rPr>
        <w:t>, deuxième journée, scène 14.</w:t>
      </w:r>
    </w:p>
  </w:footnote>
  <w:footnote w:id="14">
    <w:p w:rsidR="006335B3" w:rsidRPr="006335B3" w:rsidRDefault="006335B3">
      <w:pPr>
        <w:pStyle w:val="Notedebasdepage"/>
        <w:rPr>
          <w:lang w:val="fr-FR"/>
        </w:rPr>
      </w:pPr>
      <w:r>
        <w:rPr>
          <w:rStyle w:val="Appelnotedebasdep"/>
        </w:rPr>
        <w:footnoteRef/>
      </w:r>
      <w:r>
        <w:t xml:space="preserve"> </w:t>
      </w:r>
      <w:r>
        <w:rPr>
          <w:lang w:val="fr-FR"/>
        </w:rPr>
        <w:t>IV, 10.</w:t>
      </w:r>
    </w:p>
  </w:footnote>
  <w:footnote w:id="15">
    <w:p w:rsidR="00127BA3" w:rsidRPr="00127BA3" w:rsidRDefault="00127BA3">
      <w:pPr>
        <w:pStyle w:val="Notedebasdepage"/>
        <w:rPr>
          <w:lang w:val="fr-FR"/>
        </w:rPr>
      </w:pPr>
      <w:r>
        <w:rPr>
          <w:rStyle w:val="Appelnotedebasdep"/>
        </w:rPr>
        <w:footnoteRef/>
      </w:r>
      <w:r>
        <w:t xml:space="preserve"> </w:t>
      </w:r>
      <w:r>
        <w:rPr>
          <w:lang w:val="fr-FR"/>
        </w:rPr>
        <w:t>Les « corps glorieux » sont, dans la théologie catholique, les corps retrouvés au Jugement Dernier, lors de la résurrection des morts.</w:t>
      </w:r>
    </w:p>
  </w:footnote>
  <w:footnote w:id="16">
    <w:p w:rsidR="00127BA3" w:rsidRPr="00127BA3" w:rsidRDefault="00127BA3">
      <w:pPr>
        <w:pStyle w:val="Notedebasdepage"/>
        <w:rPr>
          <w:lang w:val="fr-FR"/>
        </w:rPr>
      </w:pPr>
      <w:r>
        <w:rPr>
          <w:rStyle w:val="Appelnotedebasdep"/>
        </w:rPr>
        <w:footnoteRef/>
      </w:r>
      <w:r>
        <w:t xml:space="preserve"> </w:t>
      </w:r>
      <w:r w:rsidR="00466B7F">
        <w:t>Augustin fait peu de différence entre les deux termes</w:t>
      </w:r>
      <w:r>
        <w:rPr>
          <w:lang w:val="fr-FR"/>
        </w:rPr>
        <w:t xml:space="preserve"> (voir </w:t>
      </w:r>
      <w:r>
        <w:rPr>
          <w:i/>
          <w:lang w:val="fr-FR"/>
        </w:rPr>
        <w:t>De Genesi ad litteram</w:t>
      </w:r>
      <w:r>
        <w:rPr>
          <w:lang w:val="fr-FR"/>
        </w:rPr>
        <w:t>, chapitre de la création d’</w:t>
      </w:r>
      <w:r>
        <w:rPr>
          <w:rFonts w:ascii="Times New Roman" w:hAnsi="Times New Roman" w:cs="Times New Roman"/>
          <w:lang w:val="fr-FR"/>
        </w:rPr>
        <w:t>Adam</w:t>
      </w:r>
      <w:r>
        <w:rPr>
          <w:lang w:val="fr-FR"/>
        </w:rPr>
        <w:t>).</w:t>
      </w:r>
    </w:p>
  </w:footnote>
  <w:footnote w:id="17">
    <w:p w:rsidR="004A2209" w:rsidRPr="004A2209" w:rsidRDefault="004A2209">
      <w:pPr>
        <w:pStyle w:val="Notedebasdepage"/>
        <w:rPr>
          <w:lang w:val="fr-FR"/>
        </w:rPr>
      </w:pPr>
      <w:r>
        <w:rPr>
          <w:rStyle w:val="Appelnotedebasdep"/>
        </w:rPr>
        <w:footnoteRef/>
      </w:r>
      <w:r>
        <w:t xml:space="preserve"> </w:t>
      </w:r>
      <w:r>
        <w:rPr>
          <w:lang w:val="fr-FR"/>
        </w:rPr>
        <w:t xml:space="preserve">Voir </w:t>
      </w:r>
      <w:r>
        <w:rPr>
          <w:i/>
          <w:lang w:val="fr-FR"/>
        </w:rPr>
        <w:t>De la Genèse contre les Manichéens</w:t>
      </w:r>
      <w:r>
        <w:rPr>
          <w:lang w:val="fr-FR"/>
        </w:rPr>
        <w:t>, II, 15.</w:t>
      </w:r>
    </w:p>
  </w:footnote>
  <w:footnote w:id="18">
    <w:p w:rsidR="00466B7F" w:rsidRPr="00466B7F" w:rsidRDefault="00466B7F">
      <w:pPr>
        <w:pStyle w:val="Notedebasdepage"/>
        <w:rPr>
          <w:lang w:val="fr-FR"/>
        </w:rPr>
      </w:pPr>
      <w:r>
        <w:rPr>
          <w:rStyle w:val="Appelnotedebasdep"/>
        </w:rPr>
        <w:footnoteRef/>
      </w:r>
      <w:r>
        <w:t xml:space="preserve"> </w:t>
      </w:r>
      <w:r>
        <w:rPr>
          <w:lang w:val="fr-FR"/>
        </w:rPr>
        <w:t>Ce sont les paroles de Rodrigue (III, 13).</w:t>
      </w:r>
    </w:p>
  </w:footnote>
  <w:footnote w:id="19">
    <w:p w:rsidR="00B839EA" w:rsidRPr="00B839EA" w:rsidRDefault="00B839EA">
      <w:pPr>
        <w:pStyle w:val="Notedebasdepage"/>
        <w:rPr>
          <w:lang w:val="fr-FR"/>
        </w:rPr>
      </w:pPr>
      <w:r>
        <w:rPr>
          <w:rStyle w:val="Appelnotedebasdep"/>
        </w:rPr>
        <w:footnoteRef/>
      </w:r>
      <w:r>
        <w:t xml:space="preserve"> </w:t>
      </w:r>
      <w:r>
        <w:rPr>
          <w:lang w:val="fr-FR"/>
        </w:rPr>
        <w:t>Ens, master 2 sur « la joie chez Claudel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6E9" w:rsidRDefault="001B46E9" w:rsidP="001B46E9">
    <w:pPr>
      <w:pStyle w:val="En-tte"/>
      <w:tabs>
        <w:tab w:val="left" w:pos="7088"/>
      </w:tabs>
    </w:pPr>
    <w:r w:rsidRPr="001B46E9">
      <w:rPr>
        <w:i/>
      </w:rPr>
      <w:t>Séminaire</w:t>
    </w:r>
    <w:r>
      <w:rPr>
        <w:i/>
      </w:rPr>
      <w:t xml:space="preserve"> Augustin dans la littérature</w:t>
    </w:r>
    <w:r>
      <w:rPr>
        <w:i/>
      </w:rPr>
      <w:tab/>
    </w:r>
    <w:r>
      <w:rPr>
        <w:i/>
      </w:rPr>
      <w:tab/>
      <w:t>Ulm, le 7 juin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5E02"/>
    <w:multiLevelType w:val="multilevel"/>
    <w:tmpl w:val="6CBE1DF0"/>
    <w:lvl w:ilvl="0">
      <w:start w:val="1"/>
      <w:numFmt w:val="lowerLetter"/>
      <w:lvlText w:val="%1)"/>
      <w:lvlJc w:val="left"/>
      <w:pPr>
        <w:ind w:left="177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1262339"/>
    <w:multiLevelType w:val="hybridMultilevel"/>
    <w:tmpl w:val="7A06A820"/>
    <w:lvl w:ilvl="0" w:tplc="98FED0BC">
      <w:start w:val="1"/>
      <w:numFmt w:val="upperRoman"/>
      <w:lvlText w:val="%1."/>
      <w:lvlJc w:val="righ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
    <w:nsid w:val="16AF6B61"/>
    <w:multiLevelType w:val="hybridMultilevel"/>
    <w:tmpl w:val="5728EFAE"/>
    <w:lvl w:ilvl="0" w:tplc="196EF890">
      <w:start w:val="1"/>
      <w:numFmt w:val="upperRoman"/>
      <w:lvlText w:val="%1."/>
      <w:lvlJc w:val="right"/>
      <w:pPr>
        <w:ind w:left="2149" w:hanging="360"/>
      </w:pPr>
    </w:lvl>
    <w:lvl w:ilvl="1" w:tplc="040C0019" w:tentative="1">
      <w:start w:val="1"/>
      <w:numFmt w:val="lowerLetter"/>
      <w:lvlText w:val="%2."/>
      <w:lvlJc w:val="left"/>
      <w:pPr>
        <w:ind w:left="2869" w:hanging="360"/>
      </w:pPr>
    </w:lvl>
    <w:lvl w:ilvl="2" w:tplc="040C001B" w:tentative="1">
      <w:start w:val="1"/>
      <w:numFmt w:val="lowerRoman"/>
      <w:lvlText w:val="%3."/>
      <w:lvlJc w:val="right"/>
      <w:pPr>
        <w:ind w:left="3589" w:hanging="180"/>
      </w:pPr>
    </w:lvl>
    <w:lvl w:ilvl="3" w:tplc="040C000F" w:tentative="1">
      <w:start w:val="1"/>
      <w:numFmt w:val="decimal"/>
      <w:lvlText w:val="%4."/>
      <w:lvlJc w:val="left"/>
      <w:pPr>
        <w:ind w:left="4309" w:hanging="360"/>
      </w:pPr>
    </w:lvl>
    <w:lvl w:ilvl="4" w:tplc="040C0019" w:tentative="1">
      <w:start w:val="1"/>
      <w:numFmt w:val="lowerLetter"/>
      <w:lvlText w:val="%5."/>
      <w:lvlJc w:val="left"/>
      <w:pPr>
        <w:ind w:left="5029" w:hanging="360"/>
      </w:pPr>
    </w:lvl>
    <w:lvl w:ilvl="5" w:tplc="040C001B" w:tentative="1">
      <w:start w:val="1"/>
      <w:numFmt w:val="lowerRoman"/>
      <w:lvlText w:val="%6."/>
      <w:lvlJc w:val="right"/>
      <w:pPr>
        <w:ind w:left="5749" w:hanging="180"/>
      </w:pPr>
    </w:lvl>
    <w:lvl w:ilvl="6" w:tplc="040C000F" w:tentative="1">
      <w:start w:val="1"/>
      <w:numFmt w:val="decimal"/>
      <w:lvlText w:val="%7."/>
      <w:lvlJc w:val="left"/>
      <w:pPr>
        <w:ind w:left="6469" w:hanging="360"/>
      </w:pPr>
    </w:lvl>
    <w:lvl w:ilvl="7" w:tplc="040C0019" w:tentative="1">
      <w:start w:val="1"/>
      <w:numFmt w:val="lowerLetter"/>
      <w:lvlText w:val="%8."/>
      <w:lvlJc w:val="left"/>
      <w:pPr>
        <w:ind w:left="7189" w:hanging="360"/>
      </w:pPr>
    </w:lvl>
    <w:lvl w:ilvl="8" w:tplc="040C001B" w:tentative="1">
      <w:start w:val="1"/>
      <w:numFmt w:val="lowerRoman"/>
      <w:lvlText w:val="%9."/>
      <w:lvlJc w:val="right"/>
      <w:pPr>
        <w:ind w:left="7909" w:hanging="180"/>
      </w:pPr>
    </w:lvl>
  </w:abstractNum>
  <w:abstractNum w:abstractNumId="3">
    <w:nsid w:val="17A24F16"/>
    <w:multiLevelType w:val="hybridMultilevel"/>
    <w:tmpl w:val="827A028C"/>
    <w:lvl w:ilvl="0" w:tplc="F2D4335E">
      <w:start w:val="1"/>
      <w:numFmt w:val="upperRoman"/>
      <w:lvlText w:val="%1."/>
      <w:lvlJc w:val="right"/>
      <w:pPr>
        <w:ind w:left="1789" w:hanging="360"/>
      </w:pPr>
    </w:lvl>
    <w:lvl w:ilvl="1" w:tplc="040C0019" w:tentative="1">
      <w:start w:val="1"/>
      <w:numFmt w:val="lowerLetter"/>
      <w:lvlText w:val="%2."/>
      <w:lvlJc w:val="left"/>
      <w:pPr>
        <w:ind w:left="2509" w:hanging="360"/>
      </w:pPr>
    </w:lvl>
    <w:lvl w:ilvl="2" w:tplc="040C001B" w:tentative="1">
      <w:start w:val="1"/>
      <w:numFmt w:val="lowerRoman"/>
      <w:lvlText w:val="%3."/>
      <w:lvlJc w:val="right"/>
      <w:pPr>
        <w:ind w:left="3229" w:hanging="180"/>
      </w:pPr>
    </w:lvl>
    <w:lvl w:ilvl="3" w:tplc="040C000F" w:tentative="1">
      <w:start w:val="1"/>
      <w:numFmt w:val="decimal"/>
      <w:lvlText w:val="%4."/>
      <w:lvlJc w:val="left"/>
      <w:pPr>
        <w:ind w:left="3949" w:hanging="360"/>
      </w:pPr>
    </w:lvl>
    <w:lvl w:ilvl="4" w:tplc="040C0019" w:tentative="1">
      <w:start w:val="1"/>
      <w:numFmt w:val="lowerLetter"/>
      <w:lvlText w:val="%5."/>
      <w:lvlJc w:val="left"/>
      <w:pPr>
        <w:ind w:left="4669" w:hanging="360"/>
      </w:pPr>
    </w:lvl>
    <w:lvl w:ilvl="5" w:tplc="040C001B" w:tentative="1">
      <w:start w:val="1"/>
      <w:numFmt w:val="lowerRoman"/>
      <w:lvlText w:val="%6."/>
      <w:lvlJc w:val="right"/>
      <w:pPr>
        <w:ind w:left="5389" w:hanging="180"/>
      </w:pPr>
    </w:lvl>
    <w:lvl w:ilvl="6" w:tplc="040C000F" w:tentative="1">
      <w:start w:val="1"/>
      <w:numFmt w:val="decimal"/>
      <w:lvlText w:val="%7."/>
      <w:lvlJc w:val="left"/>
      <w:pPr>
        <w:ind w:left="6109" w:hanging="360"/>
      </w:pPr>
    </w:lvl>
    <w:lvl w:ilvl="7" w:tplc="040C0019" w:tentative="1">
      <w:start w:val="1"/>
      <w:numFmt w:val="lowerLetter"/>
      <w:lvlText w:val="%8."/>
      <w:lvlJc w:val="left"/>
      <w:pPr>
        <w:ind w:left="6829" w:hanging="360"/>
      </w:pPr>
    </w:lvl>
    <w:lvl w:ilvl="8" w:tplc="040C001B" w:tentative="1">
      <w:start w:val="1"/>
      <w:numFmt w:val="lowerRoman"/>
      <w:lvlText w:val="%9."/>
      <w:lvlJc w:val="right"/>
      <w:pPr>
        <w:ind w:left="7549" w:hanging="180"/>
      </w:pPr>
    </w:lvl>
  </w:abstractNum>
  <w:abstractNum w:abstractNumId="4">
    <w:nsid w:val="25FB5284"/>
    <w:multiLevelType w:val="hybridMultilevel"/>
    <w:tmpl w:val="B396FCF4"/>
    <w:lvl w:ilvl="0" w:tplc="C0F040B8">
      <w:start w:val="1"/>
      <w:numFmt w:val="decimal"/>
      <w:pStyle w:val="Effac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A8D2FAA"/>
    <w:multiLevelType w:val="hybridMultilevel"/>
    <w:tmpl w:val="B818259C"/>
    <w:lvl w:ilvl="0" w:tplc="F2C865D6">
      <w:start w:val="1"/>
      <w:numFmt w:val="decimal"/>
      <w:pStyle w:val="Titre2"/>
      <w:lvlText w:val="%1."/>
      <w:lvlJc w:val="left"/>
      <w:pPr>
        <w:ind w:left="2781" w:hanging="360"/>
      </w:pPr>
    </w:lvl>
    <w:lvl w:ilvl="1" w:tplc="040C0019" w:tentative="1">
      <w:start w:val="1"/>
      <w:numFmt w:val="lowerLetter"/>
      <w:lvlText w:val="%2."/>
      <w:lvlJc w:val="left"/>
      <w:pPr>
        <w:ind w:left="3501" w:hanging="360"/>
      </w:pPr>
    </w:lvl>
    <w:lvl w:ilvl="2" w:tplc="040C001B" w:tentative="1">
      <w:start w:val="1"/>
      <w:numFmt w:val="lowerRoman"/>
      <w:lvlText w:val="%3."/>
      <w:lvlJc w:val="right"/>
      <w:pPr>
        <w:ind w:left="4221" w:hanging="180"/>
      </w:pPr>
    </w:lvl>
    <w:lvl w:ilvl="3" w:tplc="040C000F" w:tentative="1">
      <w:start w:val="1"/>
      <w:numFmt w:val="decimal"/>
      <w:lvlText w:val="%4."/>
      <w:lvlJc w:val="left"/>
      <w:pPr>
        <w:ind w:left="4941" w:hanging="360"/>
      </w:pPr>
    </w:lvl>
    <w:lvl w:ilvl="4" w:tplc="040C0019" w:tentative="1">
      <w:start w:val="1"/>
      <w:numFmt w:val="lowerLetter"/>
      <w:lvlText w:val="%5."/>
      <w:lvlJc w:val="left"/>
      <w:pPr>
        <w:ind w:left="5661" w:hanging="360"/>
      </w:pPr>
    </w:lvl>
    <w:lvl w:ilvl="5" w:tplc="040C001B" w:tentative="1">
      <w:start w:val="1"/>
      <w:numFmt w:val="lowerRoman"/>
      <w:lvlText w:val="%6."/>
      <w:lvlJc w:val="right"/>
      <w:pPr>
        <w:ind w:left="6381" w:hanging="180"/>
      </w:pPr>
    </w:lvl>
    <w:lvl w:ilvl="6" w:tplc="040C000F" w:tentative="1">
      <w:start w:val="1"/>
      <w:numFmt w:val="decimal"/>
      <w:lvlText w:val="%7."/>
      <w:lvlJc w:val="left"/>
      <w:pPr>
        <w:ind w:left="7101" w:hanging="360"/>
      </w:pPr>
    </w:lvl>
    <w:lvl w:ilvl="7" w:tplc="040C0019" w:tentative="1">
      <w:start w:val="1"/>
      <w:numFmt w:val="lowerLetter"/>
      <w:lvlText w:val="%8."/>
      <w:lvlJc w:val="left"/>
      <w:pPr>
        <w:ind w:left="7821" w:hanging="360"/>
      </w:pPr>
    </w:lvl>
    <w:lvl w:ilvl="8" w:tplc="040C001B" w:tentative="1">
      <w:start w:val="1"/>
      <w:numFmt w:val="lowerRoman"/>
      <w:lvlText w:val="%9."/>
      <w:lvlJc w:val="right"/>
      <w:pPr>
        <w:ind w:left="8541" w:hanging="180"/>
      </w:pPr>
    </w:lvl>
  </w:abstractNum>
  <w:abstractNum w:abstractNumId="6">
    <w:nsid w:val="394A7D12"/>
    <w:multiLevelType w:val="hybridMultilevel"/>
    <w:tmpl w:val="BAC6AFA0"/>
    <w:lvl w:ilvl="0" w:tplc="7A2ED25A">
      <w:start w:val="1"/>
      <w:numFmt w:val="decimal"/>
      <w:lvlText w:val="%1."/>
      <w:lvlJc w:val="lef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7">
    <w:nsid w:val="47F9633B"/>
    <w:multiLevelType w:val="multilevel"/>
    <w:tmpl w:val="DAA6AD90"/>
    <w:lvl w:ilvl="0">
      <w:start w:val="1"/>
      <w:numFmt w:val="decimal"/>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8">
    <w:nsid w:val="4D87056E"/>
    <w:multiLevelType w:val="hybridMultilevel"/>
    <w:tmpl w:val="ECAAD53C"/>
    <w:lvl w:ilvl="0" w:tplc="5F2C7C28">
      <w:start w:val="1"/>
      <w:numFmt w:val="lowerLetter"/>
      <w:lvlText w:val="%1)"/>
      <w:lvlJc w:val="lef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9">
    <w:nsid w:val="60B00871"/>
    <w:multiLevelType w:val="hybridMultilevel"/>
    <w:tmpl w:val="1820F8C6"/>
    <w:lvl w:ilvl="0" w:tplc="9D7C4722">
      <w:start w:val="1"/>
      <w:numFmt w:val="decimal"/>
      <w:lvlText w:val="%1."/>
      <w:lvlJc w:val="left"/>
      <w:pPr>
        <w:ind w:left="2844" w:hanging="360"/>
      </w:pPr>
      <w:rPr>
        <w:rFonts w:hint="default"/>
      </w:r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abstractNum w:abstractNumId="10">
    <w:nsid w:val="64B1331C"/>
    <w:multiLevelType w:val="hybridMultilevel"/>
    <w:tmpl w:val="C94CE2D2"/>
    <w:lvl w:ilvl="0" w:tplc="0F3EF99E">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1">
    <w:nsid w:val="67156D50"/>
    <w:multiLevelType w:val="multilevel"/>
    <w:tmpl w:val="BE4846E0"/>
    <w:lvl w:ilvl="0">
      <w:start w:val="1"/>
      <w:numFmt w:val="lowerLetter"/>
      <w:pStyle w:val="Titre3"/>
      <w:lvlText w:val="%1)"/>
      <w:lvlJc w:val="left"/>
      <w:pPr>
        <w:ind w:left="177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8"/>
  </w:num>
  <w:num w:numId="3">
    <w:abstractNumId w:val="3"/>
  </w:num>
  <w:num w:numId="4">
    <w:abstractNumId w:val="9"/>
  </w:num>
  <w:num w:numId="5">
    <w:abstractNumId w:val="10"/>
  </w:num>
  <w:num w:numId="6">
    <w:abstractNumId w:val="1"/>
  </w:num>
  <w:num w:numId="7">
    <w:abstractNumId w:val="2"/>
  </w:num>
  <w:num w:numId="8">
    <w:abstractNumId w:val="3"/>
  </w:num>
  <w:num w:numId="9">
    <w:abstractNumId w:val="6"/>
  </w:num>
  <w:num w:numId="10">
    <w:abstractNumId w:val="0"/>
  </w:num>
  <w:num w:numId="11">
    <w:abstractNumId w:val="7"/>
  </w:num>
  <w:num w:numId="12">
    <w:abstractNumId w:val="7"/>
  </w:num>
  <w:num w:numId="13">
    <w:abstractNumId w:val="11"/>
  </w:num>
  <w:num w:numId="14">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1B46E9"/>
    <w:rsid w:val="00011F6D"/>
    <w:rsid w:val="000173C8"/>
    <w:rsid w:val="000217FF"/>
    <w:rsid w:val="00024633"/>
    <w:rsid w:val="00025245"/>
    <w:rsid w:val="0003036C"/>
    <w:rsid w:val="00034D30"/>
    <w:rsid w:val="00040AD5"/>
    <w:rsid w:val="000434CB"/>
    <w:rsid w:val="00043682"/>
    <w:rsid w:val="000444E5"/>
    <w:rsid w:val="00046EC0"/>
    <w:rsid w:val="00053F5F"/>
    <w:rsid w:val="00072A45"/>
    <w:rsid w:val="00076962"/>
    <w:rsid w:val="00081514"/>
    <w:rsid w:val="00082A8E"/>
    <w:rsid w:val="00084F3C"/>
    <w:rsid w:val="00091BC6"/>
    <w:rsid w:val="000A2605"/>
    <w:rsid w:val="000B1773"/>
    <w:rsid w:val="000B2EEE"/>
    <w:rsid w:val="000B58EB"/>
    <w:rsid w:val="000B5FA9"/>
    <w:rsid w:val="000D4D75"/>
    <w:rsid w:val="000E1604"/>
    <w:rsid w:val="000E28EA"/>
    <w:rsid w:val="000E3EB7"/>
    <w:rsid w:val="000E4228"/>
    <w:rsid w:val="000E4327"/>
    <w:rsid w:val="000F227E"/>
    <w:rsid w:val="00102261"/>
    <w:rsid w:val="001027E5"/>
    <w:rsid w:val="00103B69"/>
    <w:rsid w:val="0010405D"/>
    <w:rsid w:val="001068DC"/>
    <w:rsid w:val="00112A7A"/>
    <w:rsid w:val="001139BA"/>
    <w:rsid w:val="00114ACE"/>
    <w:rsid w:val="001241A0"/>
    <w:rsid w:val="00127BA3"/>
    <w:rsid w:val="0013188D"/>
    <w:rsid w:val="00142135"/>
    <w:rsid w:val="00143ED9"/>
    <w:rsid w:val="0014497C"/>
    <w:rsid w:val="001449D7"/>
    <w:rsid w:val="00151194"/>
    <w:rsid w:val="00160796"/>
    <w:rsid w:val="00160943"/>
    <w:rsid w:val="0016261B"/>
    <w:rsid w:val="00163CD3"/>
    <w:rsid w:val="00164D08"/>
    <w:rsid w:val="00167AFB"/>
    <w:rsid w:val="00172182"/>
    <w:rsid w:val="00174069"/>
    <w:rsid w:val="001740FA"/>
    <w:rsid w:val="00175203"/>
    <w:rsid w:val="00183200"/>
    <w:rsid w:val="00184FBA"/>
    <w:rsid w:val="00193DAD"/>
    <w:rsid w:val="00195A08"/>
    <w:rsid w:val="001A1416"/>
    <w:rsid w:val="001A65CB"/>
    <w:rsid w:val="001B18A8"/>
    <w:rsid w:val="001B3F34"/>
    <w:rsid w:val="001B46E9"/>
    <w:rsid w:val="001B7417"/>
    <w:rsid w:val="001C1336"/>
    <w:rsid w:val="001C39D0"/>
    <w:rsid w:val="001C57E7"/>
    <w:rsid w:val="001C7F94"/>
    <w:rsid w:val="001D32D9"/>
    <w:rsid w:val="001D4F0F"/>
    <w:rsid w:val="001D6A67"/>
    <w:rsid w:val="001E0A18"/>
    <w:rsid w:val="001E5B67"/>
    <w:rsid w:val="001E6CED"/>
    <w:rsid w:val="001E75A9"/>
    <w:rsid w:val="001E75C6"/>
    <w:rsid w:val="001F7E20"/>
    <w:rsid w:val="00212B03"/>
    <w:rsid w:val="00217774"/>
    <w:rsid w:val="0022448D"/>
    <w:rsid w:val="00233D21"/>
    <w:rsid w:val="00237FDE"/>
    <w:rsid w:val="00241B4E"/>
    <w:rsid w:val="00247EA2"/>
    <w:rsid w:val="00260A18"/>
    <w:rsid w:val="002635FB"/>
    <w:rsid w:val="00265ADB"/>
    <w:rsid w:val="00274276"/>
    <w:rsid w:val="002774D7"/>
    <w:rsid w:val="00286806"/>
    <w:rsid w:val="002901FD"/>
    <w:rsid w:val="00290314"/>
    <w:rsid w:val="00295616"/>
    <w:rsid w:val="002D298F"/>
    <w:rsid w:val="002D2EF8"/>
    <w:rsid w:val="002E1F40"/>
    <w:rsid w:val="002F71D4"/>
    <w:rsid w:val="00305EB1"/>
    <w:rsid w:val="003125D3"/>
    <w:rsid w:val="003148D7"/>
    <w:rsid w:val="00316646"/>
    <w:rsid w:val="00321CA3"/>
    <w:rsid w:val="00324F38"/>
    <w:rsid w:val="0033720F"/>
    <w:rsid w:val="003415D0"/>
    <w:rsid w:val="003469A8"/>
    <w:rsid w:val="0034794E"/>
    <w:rsid w:val="0035416D"/>
    <w:rsid w:val="0036032C"/>
    <w:rsid w:val="003617AA"/>
    <w:rsid w:val="0036576D"/>
    <w:rsid w:val="003660D6"/>
    <w:rsid w:val="0037215D"/>
    <w:rsid w:val="003725D9"/>
    <w:rsid w:val="00375764"/>
    <w:rsid w:val="003804C4"/>
    <w:rsid w:val="00394895"/>
    <w:rsid w:val="00394DB2"/>
    <w:rsid w:val="00395D98"/>
    <w:rsid w:val="003A1102"/>
    <w:rsid w:val="003A15B9"/>
    <w:rsid w:val="003B3A40"/>
    <w:rsid w:val="003B6A16"/>
    <w:rsid w:val="003C0119"/>
    <w:rsid w:val="003C2815"/>
    <w:rsid w:val="003C5412"/>
    <w:rsid w:val="003D2C2A"/>
    <w:rsid w:val="003D5A3B"/>
    <w:rsid w:val="003D7225"/>
    <w:rsid w:val="003E4328"/>
    <w:rsid w:val="003E55FF"/>
    <w:rsid w:val="003F3393"/>
    <w:rsid w:val="003F5E55"/>
    <w:rsid w:val="003F783E"/>
    <w:rsid w:val="00405936"/>
    <w:rsid w:val="0041414A"/>
    <w:rsid w:val="00416FAC"/>
    <w:rsid w:val="00423748"/>
    <w:rsid w:val="00434250"/>
    <w:rsid w:val="00444B02"/>
    <w:rsid w:val="00462150"/>
    <w:rsid w:val="004644DA"/>
    <w:rsid w:val="00466B7F"/>
    <w:rsid w:val="00475B8D"/>
    <w:rsid w:val="00481247"/>
    <w:rsid w:val="0049099C"/>
    <w:rsid w:val="00494027"/>
    <w:rsid w:val="004A0020"/>
    <w:rsid w:val="004A0A5D"/>
    <w:rsid w:val="004A2209"/>
    <w:rsid w:val="004A6874"/>
    <w:rsid w:val="004B2A33"/>
    <w:rsid w:val="004B3412"/>
    <w:rsid w:val="004C2256"/>
    <w:rsid w:val="004C41B4"/>
    <w:rsid w:val="004C6695"/>
    <w:rsid w:val="004D2C57"/>
    <w:rsid w:val="004D51FB"/>
    <w:rsid w:val="004D7E51"/>
    <w:rsid w:val="004E0A18"/>
    <w:rsid w:val="004E2AA5"/>
    <w:rsid w:val="004E40B0"/>
    <w:rsid w:val="004E46E4"/>
    <w:rsid w:val="004E510E"/>
    <w:rsid w:val="004F2CB4"/>
    <w:rsid w:val="00503309"/>
    <w:rsid w:val="00510177"/>
    <w:rsid w:val="00520D39"/>
    <w:rsid w:val="005310F9"/>
    <w:rsid w:val="0055358B"/>
    <w:rsid w:val="00560095"/>
    <w:rsid w:val="00565117"/>
    <w:rsid w:val="0057024F"/>
    <w:rsid w:val="00571193"/>
    <w:rsid w:val="00585F7B"/>
    <w:rsid w:val="00587234"/>
    <w:rsid w:val="00593A13"/>
    <w:rsid w:val="00595624"/>
    <w:rsid w:val="005C3E3F"/>
    <w:rsid w:val="005C48E1"/>
    <w:rsid w:val="005C6849"/>
    <w:rsid w:val="005C74F6"/>
    <w:rsid w:val="005D0FE0"/>
    <w:rsid w:val="005D50DC"/>
    <w:rsid w:val="005D6D69"/>
    <w:rsid w:val="005E0077"/>
    <w:rsid w:val="005E0CFD"/>
    <w:rsid w:val="005E5508"/>
    <w:rsid w:val="005E6689"/>
    <w:rsid w:val="005F13BC"/>
    <w:rsid w:val="005F3B2D"/>
    <w:rsid w:val="005F71A5"/>
    <w:rsid w:val="005F7233"/>
    <w:rsid w:val="00607113"/>
    <w:rsid w:val="0062364E"/>
    <w:rsid w:val="006335B3"/>
    <w:rsid w:val="00637077"/>
    <w:rsid w:val="00637B03"/>
    <w:rsid w:val="006409AE"/>
    <w:rsid w:val="00640BF7"/>
    <w:rsid w:val="00656234"/>
    <w:rsid w:val="00663E23"/>
    <w:rsid w:val="00670317"/>
    <w:rsid w:val="006718D1"/>
    <w:rsid w:val="00677CA8"/>
    <w:rsid w:val="00681672"/>
    <w:rsid w:val="00692CB2"/>
    <w:rsid w:val="00693175"/>
    <w:rsid w:val="00693FA5"/>
    <w:rsid w:val="00694D91"/>
    <w:rsid w:val="00694ED7"/>
    <w:rsid w:val="006A7707"/>
    <w:rsid w:val="006B5D09"/>
    <w:rsid w:val="006B7C7D"/>
    <w:rsid w:val="006C37CC"/>
    <w:rsid w:val="006C53B6"/>
    <w:rsid w:val="006E6771"/>
    <w:rsid w:val="0070003F"/>
    <w:rsid w:val="00700A26"/>
    <w:rsid w:val="00712815"/>
    <w:rsid w:val="00713C72"/>
    <w:rsid w:val="00714ED3"/>
    <w:rsid w:val="007152F2"/>
    <w:rsid w:val="0071606C"/>
    <w:rsid w:val="00716AE7"/>
    <w:rsid w:val="00723F6D"/>
    <w:rsid w:val="00725894"/>
    <w:rsid w:val="00734E7B"/>
    <w:rsid w:val="00742EA9"/>
    <w:rsid w:val="00743A72"/>
    <w:rsid w:val="00743ECD"/>
    <w:rsid w:val="00746EAF"/>
    <w:rsid w:val="00753190"/>
    <w:rsid w:val="0075474C"/>
    <w:rsid w:val="007661E0"/>
    <w:rsid w:val="0076642B"/>
    <w:rsid w:val="007707E9"/>
    <w:rsid w:val="00772BD4"/>
    <w:rsid w:val="00773F1E"/>
    <w:rsid w:val="00781594"/>
    <w:rsid w:val="00782817"/>
    <w:rsid w:val="00783AAB"/>
    <w:rsid w:val="007854A6"/>
    <w:rsid w:val="00786462"/>
    <w:rsid w:val="00791A69"/>
    <w:rsid w:val="00792778"/>
    <w:rsid w:val="007A44DC"/>
    <w:rsid w:val="007A4CEF"/>
    <w:rsid w:val="007B6387"/>
    <w:rsid w:val="007C601C"/>
    <w:rsid w:val="007D30FA"/>
    <w:rsid w:val="007D3791"/>
    <w:rsid w:val="007D6CB4"/>
    <w:rsid w:val="007E3463"/>
    <w:rsid w:val="007F392A"/>
    <w:rsid w:val="007F62D1"/>
    <w:rsid w:val="00800CA2"/>
    <w:rsid w:val="0080419D"/>
    <w:rsid w:val="008102E4"/>
    <w:rsid w:val="00816D17"/>
    <w:rsid w:val="00821575"/>
    <w:rsid w:val="00824E51"/>
    <w:rsid w:val="00830553"/>
    <w:rsid w:val="00840966"/>
    <w:rsid w:val="0084145F"/>
    <w:rsid w:val="0084591A"/>
    <w:rsid w:val="00861DA4"/>
    <w:rsid w:val="00862C2D"/>
    <w:rsid w:val="00866872"/>
    <w:rsid w:val="00870180"/>
    <w:rsid w:val="00871F90"/>
    <w:rsid w:val="0088094F"/>
    <w:rsid w:val="00881C7D"/>
    <w:rsid w:val="00884683"/>
    <w:rsid w:val="008929E7"/>
    <w:rsid w:val="008A0DD5"/>
    <w:rsid w:val="008A1578"/>
    <w:rsid w:val="008A1D14"/>
    <w:rsid w:val="008C228A"/>
    <w:rsid w:val="008C5AC5"/>
    <w:rsid w:val="008C6894"/>
    <w:rsid w:val="008D3CAD"/>
    <w:rsid w:val="008D64E5"/>
    <w:rsid w:val="008D73E1"/>
    <w:rsid w:val="008E28DB"/>
    <w:rsid w:val="008E545F"/>
    <w:rsid w:val="008E6AAD"/>
    <w:rsid w:val="008E7A8D"/>
    <w:rsid w:val="008F1193"/>
    <w:rsid w:val="008F5A2A"/>
    <w:rsid w:val="00904812"/>
    <w:rsid w:val="00915364"/>
    <w:rsid w:val="00923912"/>
    <w:rsid w:val="00925D06"/>
    <w:rsid w:val="00935271"/>
    <w:rsid w:val="00935749"/>
    <w:rsid w:val="009530DD"/>
    <w:rsid w:val="00954060"/>
    <w:rsid w:val="00955B59"/>
    <w:rsid w:val="009608C0"/>
    <w:rsid w:val="00961A51"/>
    <w:rsid w:val="009657F8"/>
    <w:rsid w:val="00966CB1"/>
    <w:rsid w:val="00971191"/>
    <w:rsid w:val="00975C38"/>
    <w:rsid w:val="00975E73"/>
    <w:rsid w:val="00980C7B"/>
    <w:rsid w:val="00983829"/>
    <w:rsid w:val="009932AC"/>
    <w:rsid w:val="00996089"/>
    <w:rsid w:val="009A513E"/>
    <w:rsid w:val="009A71D9"/>
    <w:rsid w:val="009B4B67"/>
    <w:rsid w:val="009B6614"/>
    <w:rsid w:val="009B7298"/>
    <w:rsid w:val="009B7592"/>
    <w:rsid w:val="009C4900"/>
    <w:rsid w:val="009C590E"/>
    <w:rsid w:val="009D086D"/>
    <w:rsid w:val="009E4A95"/>
    <w:rsid w:val="009E4DDD"/>
    <w:rsid w:val="009F7D42"/>
    <w:rsid w:val="00A058AB"/>
    <w:rsid w:val="00A105FF"/>
    <w:rsid w:val="00A13906"/>
    <w:rsid w:val="00A17862"/>
    <w:rsid w:val="00A17CE7"/>
    <w:rsid w:val="00A308E1"/>
    <w:rsid w:val="00A34987"/>
    <w:rsid w:val="00A40FE5"/>
    <w:rsid w:val="00A46AD0"/>
    <w:rsid w:val="00A51619"/>
    <w:rsid w:val="00A53F49"/>
    <w:rsid w:val="00A56550"/>
    <w:rsid w:val="00A82889"/>
    <w:rsid w:val="00A83CB8"/>
    <w:rsid w:val="00A84137"/>
    <w:rsid w:val="00A862BB"/>
    <w:rsid w:val="00A91526"/>
    <w:rsid w:val="00A930AD"/>
    <w:rsid w:val="00A958DB"/>
    <w:rsid w:val="00AA27D2"/>
    <w:rsid w:val="00AB19B0"/>
    <w:rsid w:val="00AB6635"/>
    <w:rsid w:val="00AD74BF"/>
    <w:rsid w:val="00AF4EF0"/>
    <w:rsid w:val="00AF7240"/>
    <w:rsid w:val="00B03DD7"/>
    <w:rsid w:val="00B04967"/>
    <w:rsid w:val="00B06B33"/>
    <w:rsid w:val="00B22D6B"/>
    <w:rsid w:val="00B23D1E"/>
    <w:rsid w:val="00B31212"/>
    <w:rsid w:val="00B3528F"/>
    <w:rsid w:val="00B3627B"/>
    <w:rsid w:val="00B44E50"/>
    <w:rsid w:val="00B52C76"/>
    <w:rsid w:val="00B54F14"/>
    <w:rsid w:val="00B623AB"/>
    <w:rsid w:val="00B62772"/>
    <w:rsid w:val="00B70194"/>
    <w:rsid w:val="00B773A5"/>
    <w:rsid w:val="00B839EA"/>
    <w:rsid w:val="00B937FA"/>
    <w:rsid w:val="00BA1237"/>
    <w:rsid w:val="00BA723E"/>
    <w:rsid w:val="00BC2F42"/>
    <w:rsid w:val="00BC48A8"/>
    <w:rsid w:val="00BD19E3"/>
    <w:rsid w:val="00BD335B"/>
    <w:rsid w:val="00BD5018"/>
    <w:rsid w:val="00BE0AF3"/>
    <w:rsid w:val="00BE2B84"/>
    <w:rsid w:val="00BE3237"/>
    <w:rsid w:val="00BE79C0"/>
    <w:rsid w:val="00BF78DA"/>
    <w:rsid w:val="00C02245"/>
    <w:rsid w:val="00C14895"/>
    <w:rsid w:val="00C175DA"/>
    <w:rsid w:val="00C265C2"/>
    <w:rsid w:val="00C30D0A"/>
    <w:rsid w:val="00C36E33"/>
    <w:rsid w:val="00C43942"/>
    <w:rsid w:val="00C44A35"/>
    <w:rsid w:val="00C4503A"/>
    <w:rsid w:val="00C50F25"/>
    <w:rsid w:val="00C5295A"/>
    <w:rsid w:val="00C5741D"/>
    <w:rsid w:val="00C61DC3"/>
    <w:rsid w:val="00C66FBE"/>
    <w:rsid w:val="00C755E5"/>
    <w:rsid w:val="00C950F3"/>
    <w:rsid w:val="00CA011D"/>
    <w:rsid w:val="00CA1192"/>
    <w:rsid w:val="00CA5B6B"/>
    <w:rsid w:val="00CC5344"/>
    <w:rsid w:val="00CD34AE"/>
    <w:rsid w:val="00CE7F3C"/>
    <w:rsid w:val="00CF5FF5"/>
    <w:rsid w:val="00D012AD"/>
    <w:rsid w:val="00D04265"/>
    <w:rsid w:val="00D04F37"/>
    <w:rsid w:val="00D200B4"/>
    <w:rsid w:val="00D23540"/>
    <w:rsid w:val="00D3061A"/>
    <w:rsid w:val="00D31BD2"/>
    <w:rsid w:val="00D4483D"/>
    <w:rsid w:val="00D541D9"/>
    <w:rsid w:val="00D62CF9"/>
    <w:rsid w:val="00D632CA"/>
    <w:rsid w:val="00D64A89"/>
    <w:rsid w:val="00D66AF3"/>
    <w:rsid w:val="00D66DEE"/>
    <w:rsid w:val="00D67448"/>
    <w:rsid w:val="00D71E33"/>
    <w:rsid w:val="00D72F15"/>
    <w:rsid w:val="00D74CBF"/>
    <w:rsid w:val="00D8213A"/>
    <w:rsid w:val="00D848BF"/>
    <w:rsid w:val="00D84B8A"/>
    <w:rsid w:val="00D85A38"/>
    <w:rsid w:val="00D86990"/>
    <w:rsid w:val="00D90E38"/>
    <w:rsid w:val="00D974AE"/>
    <w:rsid w:val="00DA3675"/>
    <w:rsid w:val="00DA3820"/>
    <w:rsid w:val="00DB7FA7"/>
    <w:rsid w:val="00DC1F8E"/>
    <w:rsid w:val="00DC3096"/>
    <w:rsid w:val="00DC3CB5"/>
    <w:rsid w:val="00DD2B4E"/>
    <w:rsid w:val="00DD354D"/>
    <w:rsid w:val="00DD4588"/>
    <w:rsid w:val="00DD5220"/>
    <w:rsid w:val="00DF0620"/>
    <w:rsid w:val="00DF4994"/>
    <w:rsid w:val="00DF5A9B"/>
    <w:rsid w:val="00E15B7D"/>
    <w:rsid w:val="00E1751E"/>
    <w:rsid w:val="00E2219A"/>
    <w:rsid w:val="00E24977"/>
    <w:rsid w:val="00E271A4"/>
    <w:rsid w:val="00E42043"/>
    <w:rsid w:val="00E53D03"/>
    <w:rsid w:val="00E83DCA"/>
    <w:rsid w:val="00E8611A"/>
    <w:rsid w:val="00EB4938"/>
    <w:rsid w:val="00EC0686"/>
    <w:rsid w:val="00EC4342"/>
    <w:rsid w:val="00EC43E8"/>
    <w:rsid w:val="00ED3C51"/>
    <w:rsid w:val="00EE30AA"/>
    <w:rsid w:val="00EF0056"/>
    <w:rsid w:val="00F01B35"/>
    <w:rsid w:val="00F024E8"/>
    <w:rsid w:val="00F05E65"/>
    <w:rsid w:val="00F1134D"/>
    <w:rsid w:val="00F133D4"/>
    <w:rsid w:val="00F22B65"/>
    <w:rsid w:val="00F30E51"/>
    <w:rsid w:val="00F34BCA"/>
    <w:rsid w:val="00F36BB1"/>
    <w:rsid w:val="00F61AD5"/>
    <w:rsid w:val="00F65318"/>
    <w:rsid w:val="00F76986"/>
    <w:rsid w:val="00F8137A"/>
    <w:rsid w:val="00F84818"/>
    <w:rsid w:val="00F928F0"/>
    <w:rsid w:val="00F92B8B"/>
    <w:rsid w:val="00F95F3A"/>
    <w:rsid w:val="00FA593F"/>
    <w:rsid w:val="00FA7A2E"/>
    <w:rsid w:val="00FC405E"/>
    <w:rsid w:val="00FC7D92"/>
    <w:rsid w:val="00FD2BD0"/>
    <w:rsid w:val="00FD514E"/>
    <w:rsid w:val="00FD5D73"/>
    <w:rsid w:val="00FD66A5"/>
    <w:rsid w:val="00FD757B"/>
    <w:rsid w:val="00FE08B1"/>
    <w:rsid w:val="00FE0AEE"/>
    <w:rsid w:val="00FE2917"/>
    <w:rsid w:val="00FF0D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Mangal"/>
        <w:kern w:val="3"/>
        <w:sz w:val="24"/>
        <w:szCs w:val="24"/>
        <w:lang w:val="fr-FR" w:eastAsia="en-US" w:bidi="hi-IN"/>
      </w:rPr>
    </w:rPrDefault>
    <w:pPrDefault>
      <w:pPr>
        <w:spacing w:before="24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3675"/>
    <w:pPr>
      <w:widowControl w:val="0"/>
      <w:suppressAutoHyphens/>
      <w:autoSpaceDN w:val="0"/>
      <w:spacing w:before="120"/>
      <w:ind w:firstLine="709"/>
      <w:jc w:val="both"/>
      <w:textAlignment w:val="baseline"/>
    </w:pPr>
    <w:rPr>
      <w:rFonts w:eastAsia="SimSun"/>
      <w:noProof/>
      <w:lang w:eastAsia="zh-CN"/>
    </w:rPr>
  </w:style>
  <w:style w:type="paragraph" w:styleId="Titre1">
    <w:name w:val="heading 1"/>
    <w:basedOn w:val="Normal"/>
    <w:next w:val="Normal"/>
    <w:link w:val="Titre1Car"/>
    <w:qFormat/>
    <w:rsid w:val="00D8213A"/>
    <w:pPr>
      <w:keepNext/>
      <w:keepLines/>
      <w:widowControl/>
      <w:suppressAutoHyphens w:val="0"/>
      <w:autoSpaceDN/>
      <w:spacing w:before="240" w:beforeAutospacing="1" w:afterAutospacing="1"/>
      <w:ind w:firstLine="0"/>
      <w:jc w:val="left"/>
      <w:textAlignment w:val="auto"/>
      <w:outlineLvl w:val="0"/>
    </w:pPr>
    <w:rPr>
      <w:rFonts w:asciiTheme="majorHAnsi" w:eastAsiaTheme="majorEastAsia" w:hAnsiTheme="majorHAnsi" w:cstheme="majorBidi"/>
      <w:b/>
      <w:bCs/>
      <w:color w:val="0F243E" w:themeColor="text2" w:themeShade="80"/>
      <w:kern w:val="0"/>
      <w:sz w:val="28"/>
      <w:szCs w:val="28"/>
      <w:lang w:eastAsia="en-US" w:bidi="en-US"/>
    </w:rPr>
  </w:style>
  <w:style w:type="paragraph" w:styleId="Titre2">
    <w:name w:val="heading 2"/>
    <w:basedOn w:val="Normal"/>
    <w:next w:val="Normal"/>
    <w:link w:val="Titre2Car"/>
    <w:uiPriority w:val="9"/>
    <w:unhideWhenUsed/>
    <w:qFormat/>
    <w:rsid w:val="00D85A38"/>
    <w:pPr>
      <w:keepNext/>
      <w:widowControl/>
      <w:numPr>
        <w:numId w:val="14"/>
      </w:numPr>
      <w:suppressAutoHyphens w:val="0"/>
      <w:autoSpaceDN/>
      <w:spacing w:before="240" w:beforeAutospacing="1" w:afterAutospacing="1"/>
      <w:ind w:left="1776"/>
      <w:jc w:val="left"/>
      <w:textAlignment w:val="auto"/>
      <w:outlineLvl w:val="1"/>
    </w:pPr>
    <w:rPr>
      <w:rFonts w:ascii="Cambria" w:hAnsi="Cambria"/>
      <w:b/>
      <w:bCs/>
      <w:i/>
      <w:iCs/>
      <w:color w:val="17365D" w:themeColor="text2" w:themeShade="BF"/>
      <w:kern w:val="0"/>
      <w:sz w:val="28"/>
      <w:szCs w:val="28"/>
      <w:lang w:val="en-US" w:eastAsia="en-US" w:bidi="en-US"/>
    </w:rPr>
  </w:style>
  <w:style w:type="paragraph" w:styleId="Titre3">
    <w:name w:val="heading 3"/>
    <w:basedOn w:val="Normal"/>
    <w:next w:val="Normal"/>
    <w:link w:val="Titre3Car"/>
    <w:unhideWhenUsed/>
    <w:qFormat/>
    <w:rsid w:val="00BD5018"/>
    <w:pPr>
      <w:keepNext/>
      <w:numPr>
        <w:numId w:val="13"/>
      </w:numPr>
      <w:tabs>
        <w:tab w:val="left" w:pos="4253"/>
      </w:tabs>
      <w:spacing w:before="100" w:beforeAutospacing="1" w:after="100" w:afterAutospacing="1"/>
      <w:jc w:val="left"/>
      <w:outlineLvl w:val="2"/>
    </w:pPr>
    <w:rPr>
      <w:rFonts w:ascii="Cambria" w:hAnsi="Cambria"/>
      <w:bCs/>
      <w:color w:val="548DD4" w:themeColor="text2" w:themeTint="99"/>
      <w:szCs w:val="26"/>
    </w:rPr>
  </w:style>
  <w:style w:type="paragraph" w:styleId="Titre4">
    <w:name w:val="heading 4"/>
    <w:basedOn w:val="Normal"/>
    <w:next w:val="Normal"/>
    <w:link w:val="Titre4Car"/>
    <w:autoRedefine/>
    <w:uiPriority w:val="9"/>
    <w:unhideWhenUsed/>
    <w:qFormat/>
    <w:rsid w:val="00E271A4"/>
    <w:pPr>
      <w:keepNext/>
      <w:spacing w:before="240" w:after="60"/>
      <w:ind w:left="1429" w:hanging="360"/>
      <w:outlineLvl w:val="3"/>
    </w:pPr>
    <w:rPr>
      <w:rFonts w:ascii="Calibri" w:eastAsia="Times New Roman" w:hAnsi="Calibri" w:cs="Times New Roman"/>
      <w:bCs/>
      <w:i/>
      <w:color w:val="548DD4" w:themeColor="text2" w:themeTint="99"/>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normal"/>
    <w:autoRedefine/>
    <w:uiPriority w:val="1"/>
    <w:qFormat/>
    <w:rsid w:val="005C6849"/>
    <w:pPr>
      <w:spacing w:before="120"/>
      <w:ind w:firstLine="709"/>
      <w:jc w:val="both"/>
    </w:pPr>
    <w:rPr>
      <w:rFonts w:eastAsia="SimSun" w:cs="Tahoma"/>
      <w:szCs w:val="20"/>
      <w:lang w:bidi="ar-SA"/>
    </w:rPr>
  </w:style>
  <w:style w:type="character" w:customStyle="1" w:styleId="Titre1Car">
    <w:name w:val="Titre 1 Car"/>
    <w:basedOn w:val="Policepardfaut"/>
    <w:link w:val="Titre1"/>
    <w:rsid w:val="00F01B35"/>
    <w:rPr>
      <w:rFonts w:asciiTheme="majorHAnsi" w:eastAsiaTheme="majorEastAsia" w:hAnsiTheme="majorHAnsi" w:cstheme="majorBidi"/>
      <w:b/>
      <w:bCs/>
      <w:color w:val="0F243E" w:themeColor="text2" w:themeShade="80"/>
      <w:kern w:val="0"/>
      <w:sz w:val="28"/>
      <w:szCs w:val="28"/>
      <w:lang w:bidi="en-US"/>
    </w:rPr>
  </w:style>
  <w:style w:type="paragraph" w:styleId="Sous-titre">
    <w:name w:val="Subtitle"/>
    <w:basedOn w:val="Normal"/>
    <w:next w:val="Normal"/>
    <w:link w:val="Sous-titreCar"/>
    <w:uiPriority w:val="11"/>
    <w:qFormat/>
    <w:rsid w:val="00743A72"/>
    <w:pPr>
      <w:numPr>
        <w:ilvl w:val="1"/>
      </w:numPr>
      <w:spacing w:before="240" w:after="240"/>
      <w:ind w:firstLine="709"/>
      <w:jc w:val="left"/>
    </w:pPr>
    <w:rPr>
      <w:rFonts w:asciiTheme="majorHAnsi" w:eastAsiaTheme="majorEastAsia" w:hAnsiTheme="majorHAnsi" w:cstheme="majorBidi"/>
      <w:i/>
      <w:iCs/>
      <w:color w:val="4F81BD" w:themeColor="accent1"/>
      <w:spacing w:val="15"/>
      <w:lang w:eastAsia="en-US"/>
    </w:rPr>
  </w:style>
  <w:style w:type="character" w:customStyle="1" w:styleId="Sous-titreCar">
    <w:name w:val="Sous-titre Car"/>
    <w:basedOn w:val="Policepardfaut"/>
    <w:link w:val="Sous-titre"/>
    <w:uiPriority w:val="11"/>
    <w:rsid w:val="00743A72"/>
    <w:rPr>
      <w:rFonts w:asciiTheme="majorHAnsi" w:eastAsiaTheme="majorEastAsia" w:hAnsiTheme="majorHAnsi" w:cstheme="majorBidi"/>
      <w:i/>
      <w:iCs/>
      <w:noProof/>
      <w:color w:val="4F81BD" w:themeColor="accent1"/>
      <w:spacing w:val="15"/>
    </w:rPr>
  </w:style>
  <w:style w:type="character" w:customStyle="1" w:styleId="Titre2Car">
    <w:name w:val="Titre 2 Car"/>
    <w:basedOn w:val="Policepardfaut"/>
    <w:link w:val="Titre2"/>
    <w:uiPriority w:val="9"/>
    <w:rsid w:val="00D85A38"/>
    <w:rPr>
      <w:rFonts w:ascii="Cambria" w:eastAsia="SimSun" w:hAnsi="Cambria"/>
      <w:b/>
      <w:bCs/>
      <w:i/>
      <w:iCs/>
      <w:noProof/>
      <w:color w:val="17365D" w:themeColor="text2" w:themeShade="BF"/>
      <w:kern w:val="0"/>
      <w:sz w:val="28"/>
      <w:szCs w:val="28"/>
      <w:lang w:val="en-US" w:bidi="en-US"/>
    </w:rPr>
  </w:style>
  <w:style w:type="paragraph" w:styleId="Titre">
    <w:name w:val="Title"/>
    <w:basedOn w:val="Normal"/>
    <w:next w:val="Normal"/>
    <w:link w:val="TitreCar"/>
    <w:autoRedefine/>
    <w:uiPriority w:val="10"/>
    <w:qFormat/>
    <w:rsid w:val="004D7E51"/>
    <w:pPr>
      <w:widowControl/>
      <w:pBdr>
        <w:bottom w:val="single" w:sz="8" w:space="4" w:color="4F81BD" w:themeColor="accent1"/>
      </w:pBdr>
      <w:suppressAutoHyphens w:val="0"/>
      <w:autoSpaceDN/>
      <w:spacing w:before="0" w:after="300"/>
      <w:ind w:firstLine="0"/>
      <w:contextualSpacing/>
      <w:jc w:val="left"/>
      <w:textAlignment w:val="auto"/>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4D7E51"/>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rsid w:val="00BD5018"/>
    <w:rPr>
      <w:rFonts w:ascii="Cambria" w:eastAsia="SimSun" w:hAnsi="Cambria"/>
      <w:bCs/>
      <w:noProof/>
      <w:color w:val="548DD4" w:themeColor="text2" w:themeTint="99"/>
      <w:szCs w:val="26"/>
      <w:lang w:eastAsia="zh-CN"/>
    </w:rPr>
  </w:style>
  <w:style w:type="paragraph" w:styleId="Citation">
    <w:name w:val="Quote"/>
    <w:basedOn w:val="Normal"/>
    <w:next w:val="Normal"/>
    <w:link w:val="CitationCar"/>
    <w:uiPriority w:val="29"/>
    <w:qFormat/>
    <w:rsid w:val="00743ECD"/>
    <w:pPr>
      <w:ind w:left="851"/>
    </w:pPr>
    <w:rPr>
      <w:rFonts w:cs="Tahoma"/>
      <w:i/>
      <w:iCs/>
      <w:color w:val="000000" w:themeColor="text1"/>
      <w:sz w:val="22"/>
      <w:szCs w:val="20"/>
      <w:lang w:eastAsia="en-US" w:bidi="ar-SA"/>
    </w:rPr>
  </w:style>
  <w:style w:type="character" w:customStyle="1" w:styleId="CitationCar">
    <w:name w:val="Citation Car"/>
    <w:basedOn w:val="Policepardfaut"/>
    <w:link w:val="Citation"/>
    <w:uiPriority w:val="29"/>
    <w:rsid w:val="00743ECD"/>
    <w:rPr>
      <w:rFonts w:eastAsia="SimSun" w:cs="Tahoma"/>
      <w:i/>
      <w:iCs/>
      <w:color w:val="000000" w:themeColor="text1"/>
      <w:sz w:val="22"/>
      <w:szCs w:val="20"/>
      <w:lang w:bidi="ar-SA"/>
    </w:rPr>
  </w:style>
  <w:style w:type="paragraph" w:styleId="Paragraphedeliste">
    <w:name w:val="List Paragraph"/>
    <w:basedOn w:val="Normal"/>
    <w:uiPriority w:val="34"/>
    <w:qFormat/>
    <w:rsid w:val="00DF0620"/>
    <w:pPr>
      <w:ind w:left="720"/>
      <w:contextualSpacing/>
    </w:pPr>
    <w:rPr>
      <w:szCs w:val="21"/>
    </w:rPr>
  </w:style>
  <w:style w:type="paragraph" w:customStyle="1" w:styleId="Titresoulign">
    <w:name w:val="Titre souligné"/>
    <w:basedOn w:val="Titre"/>
    <w:link w:val="TitresoulignCar"/>
    <w:autoRedefine/>
    <w:qFormat/>
    <w:rsid w:val="009B7592"/>
    <w:pPr>
      <w:pBdr>
        <w:bottom w:val="single" w:sz="8" w:space="0" w:color="4F81BD"/>
      </w:pBdr>
      <w:autoSpaceDN w:val="0"/>
      <w:spacing w:before="120" w:after="480"/>
      <w:contextualSpacing w:val="0"/>
      <w:textAlignment w:val="baseline"/>
    </w:pPr>
    <w:rPr>
      <w:rFonts w:eastAsia="Times New Roman" w:cs="Times New Roman"/>
    </w:rPr>
  </w:style>
  <w:style w:type="character" w:customStyle="1" w:styleId="TitresoulignCar">
    <w:name w:val="Titre souligné Car"/>
    <w:basedOn w:val="Policepardfaut"/>
    <w:link w:val="Titresoulign"/>
    <w:rsid w:val="009B7592"/>
    <w:rPr>
      <w:rFonts w:ascii="Cambria" w:eastAsia="Times New Roman" w:hAnsi="Cambria" w:cs="Times New Roman"/>
      <w:color w:val="17365D"/>
      <w:spacing w:val="5"/>
      <w:sz w:val="52"/>
      <w:szCs w:val="52"/>
      <w:lang w:bidi="en-US"/>
    </w:rPr>
  </w:style>
  <w:style w:type="paragraph" w:styleId="Notedebasdepage">
    <w:name w:val="footnote text"/>
    <w:basedOn w:val="Normal"/>
    <w:link w:val="NotedebasdepageCar"/>
    <w:autoRedefine/>
    <w:uiPriority w:val="99"/>
    <w:unhideWhenUsed/>
    <w:rsid w:val="00D8213A"/>
    <w:pPr>
      <w:widowControl/>
      <w:suppressAutoHyphens w:val="0"/>
      <w:autoSpaceDN/>
      <w:spacing w:before="0" w:after="0"/>
      <w:ind w:firstLine="0"/>
      <w:jc w:val="left"/>
      <w:textAlignment w:val="auto"/>
    </w:pPr>
    <w:rPr>
      <w:rFonts w:ascii="Calibri" w:eastAsia="Times New Roman" w:hAnsi="Calibri" w:cs="Calibri"/>
      <w:kern w:val="0"/>
      <w:sz w:val="20"/>
      <w:szCs w:val="18"/>
      <w:lang w:val="en-US" w:eastAsia="en-US" w:bidi="ar-SA"/>
    </w:rPr>
  </w:style>
  <w:style w:type="character" w:customStyle="1" w:styleId="NotedebasdepageCar">
    <w:name w:val="Note de bas de page Car"/>
    <w:basedOn w:val="Policepardfaut"/>
    <w:link w:val="Notedebasdepage"/>
    <w:uiPriority w:val="99"/>
    <w:rsid w:val="00D8213A"/>
    <w:rPr>
      <w:rFonts w:ascii="Calibri" w:eastAsia="Times New Roman" w:hAnsi="Calibri" w:cs="Calibri"/>
      <w:noProof/>
      <w:kern w:val="0"/>
      <w:sz w:val="20"/>
      <w:szCs w:val="18"/>
      <w:lang w:val="en-US" w:bidi="ar-SA"/>
    </w:rPr>
  </w:style>
  <w:style w:type="character" w:styleId="Appelnotedebasdep">
    <w:name w:val="footnote reference"/>
    <w:basedOn w:val="Policepardfaut"/>
    <w:rsid w:val="000E4327"/>
    <w:rPr>
      <w:rFonts w:ascii="Times New Roman" w:hAnsi="Times New Roman"/>
      <w:sz w:val="24"/>
      <w:vertAlign w:val="superscript"/>
    </w:rPr>
  </w:style>
  <w:style w:type="character" w:styleId="Titredulivre">
    <w:name w:val="Book Title"/>
    <w:basedOn w:val="Policepardfaut"/>
    <w:uiPriority w:val="33"/>
    <w:qFormat/>
    <w:rsid w:val="003D7225"/>
    <w:rPr>
      <w:bCs/>
      <w:smallCaps/>
      <w:spacing w:val="5"/>
    </w:rPr>
  </w:style>
  <w:style w:type="paragraph" w:styleId="Liste">
    <w:name w:val="List"/>
    <w:basedOn w:val="Normal"/>
    <w:autoRedefine/>
    <w:rsid w:val="00E271A4"/>
    <w:pPr>
      <w:widowControl/>
      <w:spacing w:before="0"/>
      <w:ind w:left="720" w:hanging="360"/>
      <w:jc w:val="left"/>
    </w:pPr>
    <w:rPr>
      <w:rFonts w:eastAsia="Times New Roman"/>
      <w:lang w:bidi="ar-SA"/>
    </w:rPr>
  </w:style>
  <w:style w:type="character" w:customStyle="1" w:styleId="Titre3Car1">
    <w:name w:val="Titre 3 Car1"/>
    <w:basedOn w:val="Policepardfaut"/>
    <w:link w:val="Titre3"/>
    <w:uiPriority w:val="9"/>
    <w:rsid w:val="00B04967"/>
    <w:rPr>
      <w:rFonts w:ascii="Cambria" w:eastAsia="SimSun" w:hAnsi="Cambria" w:cs="Tahoma"/>
      <w:bCs/>
      <w:i/>
      <w:color w:val="548DD4" w:themeColor="text2" w:themeTint="99"/>
      <w:sz w:val="22"/>
      <w:szCs w:val="26"/>
      <w:lang w:bidi="ar-SA"/>
    </w:rPr>
  </w:style>
  <w:style w:type="character" w:customStyle="1" w:styleId="Titre4Car">
    <w:name w:val="Titre 4 Car"/>
    <w:basedOn w:val="Policepardfaut"/>
    <w:link w:val="Titre4"/>
    <w:uiPriority w:val="9"/>
    <w:rsid w:val="00E271A4"/>
    <w:rPr>
      <w:rFonts w:ascii="Calibri" w:eastAsia="Times New Roman" w:hAnsi="Calibri" w:cs="Times New Roman"/>
      <w:bCs/>
      <w:i/>
      <w:color w:val="548DD4" w:themeColor="text2" w:themeTint="99"/>
      <w:szCs w:val="28"/>
    </w:rPr>
  </w:style>
  <w:style w:type="paragraph" w:customStyle="1" w:styleId="Effacer">
    <w:name w:val="Effacer"/>
    <w:basedOn w:val="Normal"/>
    <w:autoRedefine/>
    <w:qFormat/>
    <w:rsid w:val="00503309"/>
    <w:pPr>
      <w:keepNext/>
      <w:numPr>
        <w:numId w:val="1"/>
      </w:numPr>
      <w:spacing w:before="240"/>
      <w:outlineLvl w:val="1"/>
    </w:pPr>
    <w:rPr>
      <w:rFonts w:ascii="Cambria" w:eastAsia="Times New Roman" w:hAnsi="Cambria" w:cs="Times New Roman"/>
      <w:b/>
      <w:bCs/>
      <w:i/>
      <w:iCs/>
      <w:color w:val="17365D" w:themeColor="text2" w:themeShade="BF"/>
      <w:szCs w:val="28"/>
      <w:lang w:eastAsia="en-US" w:bidi="ar-SA"/>
    </w:rPr>
  </w:style>
  <w:style w:type="paragraph" w:styleId="En-tte">
    <w:name w:val="header"/>
    <w:basedOn w:val="Normal"/>
    <w:link w:val="En-tteCar"/>
    <w:uiPriority w:val="99"/>
    <w:unhideWhenUsed/>
    <w:rsid w:val="001B46E9"/>
    <w:pPr>
      <w:tabs>
        <w:tab w:val="center" w:pos="4536"/>
        <w:tab w:val="right" w:pos="9072"/>
      </w:tabs>
      <w:spacing w:before="0" w:after="0"/>
    </w:pPr>
    <w:rPr>
      <w:szCs w:val="21"/>
    </w:rPr>
  </w:style>
  <w:style w:type="character" w:customStyle="1" w:styleId="En-tteCar">
    <w:name w:val="En-tête Car"/>
    <w:basedOn w:val="Policepardfaut"/>
    <w:link w:val="En-tte"/>
    <w:uiPriority w:val="99"/>
    <w:rsid w:val="001B46E9"/>
    <w:rPr>
      <w:rFonts w:eastAsia="SimSun"/>
      <w:noProof/>
      <w:szCs w:val="21"/>
      <w:lang w:eastAsia="zh-CN"/>
    </w:rPr>
  </w:style>
  <w:style w:type="paragraph" w:styleId="Pieddepage">
    <w:name w:val="footer"/>
    <w:basedOn w:val="Normal"/>
    <w:link w:val="PieddepageCar"/>
    <w:uiPriority w:val="99"/>
    <w:semiHidden/>
    <w:unhideWhenUsed/>
    <w:rsid w:val="001B46E9"/>
    <w:pPr>
      <w:tabs>
        <w:tab w:val="center" w:pos="4536"/>
        <w:tab w:val="right" w:pos="9072"/>
      </w:tabs>
      <w:spacing w:before="0" w:after="0"/>
    </w:pPr>
    <w:rPr>
      <w:szCs w:val="21"/>
    </w:rPr>
  </w:style>
  <w:style w:type="character" w:customStyle="1" w:styleId="PieddepageCar">
    <w:name w:val="Pied de page Car"/>
    <w:basedOn w:val="Policepardfaut"/>
    <w:link w:val="Pieddepage"/>
    <w:uiPriority w:val="99"/>
    <w:semiHidden/>
    <w:rsid w:val="001B46E9"/>
    <w:rPr>
      <w:rFonts w:eastAsia="SimSun"/>
      <w:noProof/>
      <w:szCs w:val="21"/>
      <w:lang w:eastAsia="zh-CN"/>
    </w:rPr>
  </w:style>
  <w:style w:type="paragraph" w:styleId="Textedebulles">
    <w:name w:val="Balloon Text"/>
    <w:basedOn w:val="Normal"/>
    <w:link w:val="TextedebullesCar"/>
    <w:uiPriority w:val="99"/>
    <w:semiHidden/>
    <w:unhideWhenUsed/>
    <w:rsid w:val="001B46E9"/>
    <w:pPr>
      <w:spacing w:before="0" w:after="0"/>
    </w:pPr>
    <w:rPr>
      <w:rFonts w:ascii="Tahoma" w:hAnsi="Tahoma"/>
      <w:sz w:val="16"/>
      <w:szCs w:val="14"/>
    </w:rPr>
  </w:style>
  <w:style w:type="character" w:customStyle="1" w:styleId="TextedebullesCar">
    <w:name w:val="Texte de bulles Car"/>
    <w:basedOn w:val="Policepardfaut"/>
    <w:link w:val="Textedebulles"/>
    <w:uiPriority w:val="99"/>
    <w:semiHidden/>
    <w:rsid w:val="001B46E9"/>
    <w:rPr>
      <w:rFonts w:ascii="Tahoma" w:eastAsia="SimSun" w:hAnsi="Tahoma"/>
      <w:noProof/>
      <w:sz w:val="16"/>
      <w:szCs w:val="14"/>
      <w:lang w:eastAsia="zh-CN"/>
    </w:rPr>
  </w:style>
  <w:style w:type="character" w:styleId="Lienhypertexte">
    <w:name w:val="Hyperlink"/>
    <w:basedOn w:val="Policepardfaut"/>
    <w:uiPriority w:val="99"/>
    <w:unhideWhenUsed/>
    <w:rsid w:val="00D85A38"/>
    <w:rPr>
      <w:color w:val="0000FF" w:themeColor="hyperlink"/>
      <w:u w:val="single"/>
    </w:rPr>
  </w:style>
  <w:style w:type="paragraph" w:styleId="PrformatHTML">
    <w:name w:val="HTML Preformatted"/>
    <w:basedOn w:val="Normal"/>
    <w:link w:val="PrformatHTMLCar"/>
    <w:uiPriority w:val="99"/>
    <w:semiHidden/>
    <w:unhideWhenUsed/>
    <w:rsid w:val="00F813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after="0"/>
      <w:ind w:firstLine="0"/>
      <w:jc w:val="left"/>
      <w:textAlignment w:val="auto"/>
    </w:pPr>
    <w:rPr>
      <w:rFonts w:ascii="Courier New" w:eastAsia="Times New Roman" w:hAnsi="Courier New" w:cs="Courier New"/>
      <w:noProof w:val="0"/>
      <w:kern w:val="0"/>
      <w:sz w:val="20"/>
      <w:szCs w:val="20"/>
      <w:lang w:eastAsia="fr-FR" w:bidi="ar-SA"/>
    </w:rPr>
  </w:style>
  <w:style w:type="character" w:customStyle="1" w:styleId="PrformatHTMLCar">
    <w:name w:val="Préformaté HTML Car"/>
    <w:basedOn w:val="Policepardfaut"/>
    <w:link w:val="PrformatHTML"/>
    <w:uiPriority w:val="99"/>
    <w:semiHidden/>
    <w:rsid w:val="00F8137A"/>
    <w:rPr>
      <w:rFonts w:ascii="Courier New" w:eastAsia="Times New Roman" w:hAnsi="Courier New" w:cs="Courier New"/>
      <w:kern w:val="0"/>
      <w:sz w:val="20"/>
      <w:szCs w:val="20"/>
      <w:lang w:eastAsia="fr-FR" w:bidi="ar-SA"/>
    </w:rPr>
  </w:style>
</w:styles>
</file>

<file path=word/webSettings.xml><?xml version="1.0" encoding="utf-8"?>
<w:webSettings xmlns:r="http://schemas.openxmlformats.org/officeDocument/2006/relationships" xmlns:w="http://schemas.openxmlformats.org/wordprocessingml/2006/main">
  <w:divs>
    <w:div w:id="434324059">
      <w:bodyDiv w:val="1"/>
      <w:marLeft w:val="0"/>
      <w:marRight w:val="0"/>
      <w:marTop w:val="0"/>
      <w:marBottom w:val="0"/>
      <w:divBdr>
        <w:top w:val="none" w:sz="0" w:space="0" w:color="auto"/>
        <w:left w:val="none" w:sz="0" w:space="0" w:color="auto"/>
        <w:bottom w:val="none" w:sz="0" w:space="0" w:color="auto"/>
        <w:right w:val="none" w:sz="0" w:space="0" w:color="auto"/>
      </w:divBdr>
    </w:div>
    <w:div w:id="535240089">
      <w:bodyDiv w:val="1"/>
      <w:marLeft w:val="0"/>
      <w:marRight w:val="0"/>
      <w:marTop w:val="0"/>
      <w:marBottom w:val="0"/>
      <w:divBdr>
        <w:top w:val="none" w:sz="0" w:space="0" w:color="auto"/>
        <w:left w:val="none" w:sz="0" w:space="0" w:color="auto"/>
        <w:bottom w:val="none" w:sz="0" w:space="0" w:color="auto"/>
        <w:right w:val="none" w:sz="0" w:space="0" w:color="auto"/>
      </w:divBdr>
    </w:div>
    <w:div w:id="693382040">
      <w:bodyDiv w:val="1"/>
      <w:marLeft w:val="0"/>
      <w:marRight w:val="0"/>
      <w:marTop w:val="0"/>
      <w:marBottom w:val="0"/>
      <w:divBdr>
        <w:top w:val="none" w:sz="0" w:space="0" w:color="auto"/>
        <w:left w:val="none" w:sz="0" w:space="0" w:color="auto"/>
        <w:bottom w:val="none" w:sz="0" w:space="0" w:color="auto"/>
        <w:right w:val="none" w:sz="0" w:space="0" w:color="auto"/>
      </w:divBdr>
    </w:div>
    <w:div w:id="875238022">
      <w:bodyDiv w:val="1"/>
      <w:marLeft w:val="0"/>
      <w:marRight w:val="0"/>
      <w:marTop w:val="0"/>
      <w:marBottom w:val="0"/>
      <w:divBdr>
        <w:top w:val="none" w:sz="0" w:space="0" w:color="auto"/>
        <w:left w:val="none" w:sz="0" w:space="0" w:color="auto"/>
        <w:bottom w:val="none" w:sz="0" w:space="0" w:color="auto"/>
        <w:right w:val="none" w:sz="0" w:space="0" w:color="auto"/>
      </w:divBdr>
    </w:div>
    <w:div w:id="1113670492">
      <w:bodyDiv w:val="1"/>
      <w:marLeft w:val="0"/>
      <w:marRight w:val="0"/>
      <w:marTop w:val="0"/>
      <w:marBottom w:val="0"/>
      <w:divBdr>
        <w:top w:val="none" w:sz="0" w:space="0" w:color="auto"/>
        <w:left w:val="none" w:sz="0" w:space="0" w:color="auto"/>
        <w:bottom w:val="none" w:sz="0" w:space="0" w:color="auto"/>
        <w:right w:val="none" w:sz="0" w:space="0" w:color="auto"/>
      </w:divBdr>
    </w:div>
    <w:div w:id="1939289262">
      <w:bodyDiv w:val="1"/>
      <w:marLeft w:val="0"/>
      <w:marRight w:val="0"/>
      <w:marTop w:val="0"/>
      <w:marBottom w:val="0"/>
      <w:divBdr>
        <w:top w:val="none" w:sz="0" w:space="0" w:color="auto"/>
        <w:left w:val="none" w:sz="0" w:space="0" w:color="auto"/>
        <w:bottom w:val="none" w:sz="0" w:space="0" w:color="auto"/>
        <w:right w:val="none" w:sz="0" w:space="0" w:color="auto"/>
      </w:divBdr>
    </w:div>
    <w:div w:id="208155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ugustinus.i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7435C-E418-4C5D-BEDE-574733F0A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1979</Words>
  <Characters>10887</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Cervantes</dc:creator>
  <cp:lastModifiedBy>Cervantes</cp:lastModifiedBy>
  <cp:revision>5</cp:revision>
  <dcterms:created xsi:type="dcterms:W3CDTF">2011-06-07T14:03:00Z</dcterms:created>
  <dcterms:modified xsi:type="dcterms:W3CDTF">2011-06-10T14:56:00Z</dcterms:modified>
</cp:coreProperties>
</file>