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3C" w:rsidRPr="00494E3C" w:rsidRDefault="00494E3C" w:rsidP="00494E3C">
      <w:pPr>
        <w:spacing w:after="0"/>
        <w:jc w:val="center"/>
        <w:rPr>
          <w:b/>
          <w:sz w:val="28"/>
          <w:szCs w:val="28"/>
          <w:u w:val="single"/>
        </w:rPr>
      </w:pPr>
      <w:r w:rsidRPr="00494E3C">
        <w:rPr>
          <w:b/>
          <w:sz w:val="28"/>
          <w:szCs w:val="28"/>
          <w:u w:val="single"/>
        </w:rPr>
        <w:t>PROGRAMME</w:t>
      </w:r>
    </w:p>
    <w:p w:rsidR="00494E3C" w:rsidRDefault="00494E3C" w:rsidP="00494E3C">
      <w:pPr>
        <w:spacing w:after="0"/>
        <w:jc w:val="center"/>
        <w:rPr>
          <w:b/>
          <w:sz w:val="28"/>
          <w:szCs w:val="28"/>
        </w:rPr>
      </w:pPr>
      <w:r w:rsidRPr="00494E3C">
        <w:rPr>
          <w:b/>
          <w:sz w:val="28"/>
          <w:szCs w:val="28"/>
        </w:rPr>
        <w:t>Entreprises, régions de productions et marchés en Europe</w:t>
      </w:r>
    </w:p>
    <w:p w:rsidR="00494E3C" w:rsidRPr="00494E3C" w:rsidRDefault="00494E3C" w:rsidP="00494E3C">
      <w:pPr>
        <w:spacing w:after="0"/>
        <w:jc w:val="center"/>
        <w:rPr>
          <w:b/>
          <w:sz w:val="28"/>
          <w:szCs w:val="28"/>
        </w:rPr>
      </w:pPr>
      <w:r w:rsidRPr="00494E3C">
        <w:rPr>
          <w:b/>
          <w:sz w:val="28"/>
          <w:szCs w:val="28"/>
        </w:rPr>
        <w:t>(XIII</w:t>
      </w:r>
      <w:r w:rsidRPr="008D5F96">
        <w:rPr>
          <w:b/>
          <w:sz w:val="28"/>
          <w:szCs w:val="28"/>
          <w:vertAlign w:val="superscript"/>
        </w:rPr>
        <w:t>e</w:t>
      </w:r>
      <w:r w:rsidRPr="00494E3C">
        <w:rPr>
          <w:b/>
          <w:sz w:val="28"/>
          <w:szCs w:val="28"/>
        </w:rPr>
        <w:t>-XVII</w:t>
      </w:r>
      <w:r w:rsidRPr="008D5F96">
        <w:rPr>
          <w:b/>
          <w:sz w:val="28"/>
          <w:szCs w:val="28"/>
          <w:vertAlign w:val="superscript"/>
        </w:rPr>
        <w:t>e</w:t>
      </w:r>
      <w:r w:rsidRPr="00494E3C">
        <w:rPr>
          <w:b/>
          <w:sz w:val="28"/>
          <w:szCs w:val="28"/>
        </w:rPr>
        <w:t xml:space="preserve"> siècle)</w:t>
      </w:r>
    </w:p>
    <w:p w:rsidR="00494E3C" w:rsidRDefault="00494E3C" w:rsidP="00494E3C">
      <w:pPr>
        <w:spacing w:after="0"/>
        <w:jc w:val="both"/>
      </w:pPr>
    </w:p>
    <w:p w:rsidR="00494E3C" w:rsidRDefault="00494E3C" w:rsidP="00494E3C">
      <w:pPr>
        <w:spacing w:after="0" w:line="240" w:lineRule="auto"/>
        <w:jc w:val="both"/>
      </w:pPr>
      <w:r>
        <w:t>Mathieu Arnoux, directeur d'études à l'EHESS, professeur à l'Universit</w:t>
      </w:r>
      <w:r w:rsidR="00964716">
        <w:t>é Paris-Diderot</w:t>
      </w:r>
    </w:p>
    <w:p w:rsidR="00494E3C" w:rsidRDefault="00494E3C" w:rsidP="00494E3C">
      <w:pPr>
        <w:spacing w:after="0" w:line="240" w:lineRule="auto"/>
        <w:jc w:val="both"/>
      </w:pPr>
      <w:r>
        <w:t>Jacques Bottin, directeur de recherche émérite au CNRS</w:t>
      </w:r>
    </w:p>
    <w:p w:rsidR="00494E3C" w:rsidRDefault="00494E3C" w:rsidP="00494E3C">
      <w:pPr>
        <w:spacing w:after="0" w:line="240" w:lineRule="auto"/>
        <w:jc w:val="both"/>
      </w:pPr>
      <w:r>
        <w:t xml:space="preserve">Ingrid </w:t>
      </w:r>
      <w:proofErr w:type="spellStart"/>
      <w:r>
        <w:t>Houssaye</w:t>
      </w:r>
      <w:proofErr w:type="spellEnd"/>
      <w:r>
        <w:t xml:space="preserve"> </w:t>
      </w:r>
      <w:proofErr w:type="spellStart"/>
      <w:r>
        <w:t>Michienzi</w:t>
      </w:r>
      <w:proofErr w:type="spellEnd"/>
      <w:r>
        <w:t>, ICT-Université Paris-Diderot</w:t>
      </w:r>
    </w:p>
    <w:p w:rsidR="00494E3C" w:rsidRDefault="00494E3C" w:rsidP="00494E3C">
      <w:pPr>
        <w:spacing w:after="0" w:line="240" w:lineRule="auto"/>
        <w:jc w:val="both"/>
      </w:pPr>
      <w:r>
        <w:t xml:space="preserve">Matthieu </w:t>
      </w:r>
      <w:proofErr w:type="spellStart"/>
      <w:r>
        <w:t>Scherman</w:t>
      </w:r>
      <w:proofErr w:type="spellEnd"/>
      <w:r>
        <w:t>, École française de Rome</w:t>
      </w:r>
    </w:p>
    <w:p w:rsidR="00494E3C" w:rsidRDefault="00494E3C" w:rsidP="00494E3C">
      <w:pPr>
        <w:spacing w:after="0"/>
        <w:jc w:val="both"/>
      </w:pPr>
      <w:bookmarkStart w:id="0" w:name="_GoBack"/>
      <w:bookmarkEnd w:id="0"/>
    </w:p>
    <w:p w:rsidR="00494E3C" w:rsidRDefault="00494E3C" w:rsidP="00494E3C">
      <w:pPr>
        <w:spacing w:after="0"/>
        <w:jc w:val="both"/>
      </w:pPr>
      <w:r>
        <w:t>2e et 4e mercredis du mois de 17 h à 19 h (ENS, salle IHMC, escalier D, 3e étage, 45 rue d’Ulm 75005 P</w:t>
      </w:r>
      <w:r w:rsidR="00492D4E">
        <w:t>aris), du 13 novembre 2013 au 28 mai</w:t>
      </w:r>
      <w:r>
        <w:t xml:space="preserve"> 2014</w:t>
      </w:r>
      <w:r w:rsidR="00123D83">
        <w:t>.</w:t>
      </w:r>
    </w:p>
    <w:p w:rsidR="00494E3C" w:rsidRDefault="00494E3C" w:rsidP="00494E3C">
      <w:pPr>
        <w:spacing w:after="0"/>
        <w:jc w:val="both"/>
      </w:pPr>
    </w:p>
    <w:p w:rsidR="00123D83" w:rsidRDefault="00494E3C" w:rsidP="00494E3C">
      <w:pPr>
        <w:spacing w:after="0"/>
        <w:jc w:val="both"/>
      </w:pPr>
      <w:r>
        <w:t>Le séminaire sera consacré à l'étude des liens entre structures de production et marchés, en se focalisant particulièrement sur les relations entre Europe du Nord-Ouest et régions méditerranéennes. Une partie des séances seront consacrées à la présentation des sources d'entreprises conservées dans le fonds Salviati de l'École normale supérieure de Pise, qui font l'objet de l'enquête collective ENPRESA (sur financement ANR), animée par les responsables du séminaire.</w:t>
      </w:r>
    </w:p>
    <w:p w:rsidR="00494E3C" w:rsidRDefault="00494E3C" w:rsidP="00494E3C">
      <w:pPr>
        <w:spacing w:after="0"/>
      </w:pPr>
    </w:p>
    <w:tbl>
      <w:tblPr>
        <w:tblStyle w:val="Grilledutableau"/>
        <w:tblW w:w="0" w:type="auto"/>
        <w:tblLook w:val="04A0" w:firstRow="1" w:lastRow="0" w:firstColumn="1" w:lastColumn="0" w:noHBand="0" w:noVBand="1"/>
      </w:tblPr>
      <w:tblGrid>
        <w:gridCol w:w="2054"/>
        <w:gridCol w:w="3157"/>
        <w:gridCol w:w="4001"/>
      </w:tblGrid>
      <w:tr w:rsidR="00494E3C" w:rsidTr="004A3AA9">
        <w:tc>
          <w:tcPr>
            <w:tcW w:w="2054" w:type="dxa"/>
          </w:tcPr>
          <w:p w:rsidR="00494E3C" w:rsidRDefault="00494E3C" w:rsidP="00B52FE9">
            <w:pPr>
              <w:jc w:val="center"/>
              <w:rPr>
                <w:b/>
                <w:lang w:val="it-IT"/>
              </w:rPr>
            </w:pPr>
            <w:r>
              <w:rPr>
                <w:b/>
                <w:lang w:val="it-IT"/>
              </w:rPr>
              <w:t>Séance et date</w:t>
            </w:r>
          </w:p>
        </w:tc>
        <w:tc>
          <w:tcPr>
            <w:tcW w:w="3157" w:type="dxa"/>
          </w:tcPr>
          <w:p w:rsidR="00494E3C" w:rsidRDefault="00494E3C" w:rsidP="00B52FE9">
            <w:pPr>
              <w:jc w:val="center"/>
              <w:rPr>
                <w:b/>
                <w:lang w:val="it-IT"/>
              </w:rPr>
            </w:pPr>
            <w:r>
              <w:rPr>
                <w:b/>
                <w:lang w:val="it-IT"/>
              </w:rPr>
              <w:t>Intervenant(e)(s)</w:t>
            </w:r>
          </w:p>
        </w:tc>
        <w:tc>
          <w:tcPr>
            <w:tcW w:w="4001" w:type="dxa"/>
          </w:tcPr>
          <w:p w:rsidR="00494E3C" w:rsidRDefault="00494E3C" w:rsidP="00B52FE9">
            <w:pPr>
              <w:jc w:val="center"/>
              <w:rPr>
                <w:b/>
                <w:lang w:val="it-IT"/>
              </w:rPr>
            </w:pPr>
            <w:r>
              <w:rPr>
                <w:b/>
                <w:lang w:val="it-IT"/>
              </w:rPr>
              <w:t>Intitulé de l’intervention</w:t>
            </w:r>
          </w:p>
        </w:tc>
      </w:tr>
      <w:tr w:rsidR="00494E3C" w:rsidRPr="006E15C3" w:rsidTr="004A3AA9">
        <w:tc>
          <w:tcPr>
            <w:tcW w:w="2054" w:type="dxa"/>
          </w:tcPr>
          <w:p w:rsidR="00494E3C" w:rsidRDefault="00494E3C" w:rsidP="00B52FE9">
            <w:pPr>
              <w:jc w:val="center"/>
              <w:rPr>
                <w:lang w:val="it-IT"/>
              </w:rPr>
            </w:pPr>
          </w:p>
          <w:p w:rsidR="00494E3C" w:rsidRDefault="00494E3C" w:rsidP="00B52FE9">
            <w:pPr>
              <w:jc w:val="center"/>
              <w:rPr>
                <w:lang w:val="it-IT"/>
              </w:rPr>
            </w:pPr>
            <w:r w:rsidRPr="006E15C3">
              <w:rPr>
                <w:lang w:val="it-IT"/>
              </w:rPr>
              <w:t>1.</w:t>
            </w:r>
          </w:p>
          <w:p w:rsidR="00494E3C" w:rsidRPr="006E15C3" w:rsidRDefault="00494E3C" w:rsidP="00B52FE9">
            <w:pPr>
              <w:jc w:val="center"/>
              <w:rPr>
                <w:lang w:val="it-IT"/>
              </w:rPr>
            </w:pPr>
            <w:r w:rsidRPr="006E15C3">
              <w:rPr>
                <w:lang w:val="it-IT"/>
              </w:rPr>
              <w:t xml:space="preserve">13 novembre </w:t>
            </w:r>
            <w:r>
              <w:rPr>
                <w:lang w:val="it-IT"/>
              </w:rPr>
              <w:t>2013</w:t>
            </w:r>
          </w:p>
        </w:tc>
        <w:tc>
          <w:tcPr>
            <w:tcW w:w="3157" w:type="dxa"/>
          </w:tcPr>
          <w:p w:rsidR="00494E3C" w:rsidRPr="003D0A34" w:rsidRDefault="00494E3C" w:rsidP="00B52FE9">
            <w:pPr>
              <w:jc w:val="center"/>
            </w:pPr>
          </w:p>
          <w:p w:rsidR="007878C3" w:rsidRDefault="00494E3C" w:rsidP="00B52FE9">
            <w:pPr>
              <w:jc w:val="center"/>
            </w:pPr>
            <w:r w:rsidRPr="003D0A34">
              <w:t>Mathieu Arnoux</w:t>
            </w:r>
            <w:r w:rsidR="003D0A34" w:rsidRPr="003D0A34">
              <w:t xml:space="preserve"> </w:t>
            </w:r>
          </w:p>
          <w:p w:rsidR="00494E3C" w:rsidRDefault="003D0A34" w:rsidP="00B52FE9">
            <w:pPr>
              <w:jc w:val="center"/>
            </w:pPr>
            <w:r w:rsidRPr="003D0A34">
              <w:t>(Université Paris 7/EHESS)</w:t>
            </w:r>
          </w:p>
          <w:p w:rsidR="004A3AA9" w:rsidRPr="003D0A34" w:rsidRDefault="004A3AA9" w:rsidP="00B52FE9">
            <w:pPr>
              <w:jc w:val="center"/>
            </w:pPr>
          </w:p>
          <w:p w:rsidR="00ED6EAC" w:rsidRDefault="00494E3C" w:rsidP="00B52FE9">
            <w:pPr>
              <w:jc w:val="center"/>
              <w:rPr>
                <w:lang w:val="it-IT"/>
              </w:rPr>
            </w:pPr>
            <w:r w:rsidRPr="006E15C3">
              <w:rPr>
                <w:lang w:val="it-IT"/>
              </w:rPr>
              <w:t>Jacques Bottin</w:t>
            </w:r>
            <w:r w:rsidR="003D0A34">
              <w:rPr>
                <w:lang w:val="it-IT"/>
              </w:rPr>
              <w:t xml:space="preserve"> </w:t>
            </w:r>
          </w:p>
          <w:p w:rsidR="00494E3C" w:rsidRDefault="003D0A34" w:rsidP="00B52FE9">
            <w:pPr>
              <w:jc w:val="center"/>
              <w:rPr>
                <w:lang w:val="it-IT"/>
              </w:rPr>
            </w:pPr>
            <w:r>
              <w:rPr>
                <w:lang w:val="it-IT"/>
              </w:rPr>
              <w:t>(CNRS</w:t>
            </w:r>
            <w:r w:rsidR="00ED6EAC">
              <w:rPr>
                <w:lang w:val="it-IT"/>
              </w:rPr>
              <w:t>-IHMC</w:t>
            </w:r>
            <w:r>
              <w:rPr>
                <w:lang w:val="it-IT"/>
              </w:rPr>
              <w:t>)</w:t>
            </w:r>
          </w:p>
          <w:p w:rsidR="004A3AA9" w:rsidRPr="006E15C3" w:rsidRDefault="004A3AA9" w:rsidP="00B52FE9">
            <w:pPr>
              <w:jc w:val="center"/>
              <w:rPr>
                <w:lang w:val="it-IT"/>
              </w:rPr>
            </w:pPr>
          </w:p>
        </w:tc>
        <w:tc>
          <w:tcPr>
            <w:tcW w:w="4001" w:type="dxa"/>
          </w:tcPr>
          <w:p w:rsidR="00F021B6" w:rsidRPr="00F021B6" w:rsidRDefault="00F021B6" w:rsidP="00B52FE9">
            <w:pPr>
              <w:jc w:val="center"/>
              <w:rPr>
                <w:lang w:val="it-IT"/>
              </w:rPr>
            </w:pPr>
          </w:p>
          <w:p w:rsidR="004A3AA9" w:rsidRDefault="004A3AA9" w:rsidP="00B52FE9">
            <w:pPr>
              <w:jc w:val="center"/>
              <w:rPr>
                <w:lang w:val="it-IT"/>
              </w:rPr>
            </w:pPr>
          </w:p>
          <w:p w:rsidR="004A3AA9" w:rsidRDefault="004A3AA9" w:rsidP="00B52FE9">
            <w:pPr>
              <w:jc w:val="center"/>
              <w:rPr>
                <w:lang w:val="it-IT"/>
              </w:rPr>
            </w:pPr>
          </w:p>
          <w:p w:rsidR="00494E3C" w:rsidRPr="004A3AA9" w:rsidRDefault="00494E3C" w:rsidP="00B52FE9">
            <w:pPr>
              <w:jc w:val="center"/>
              <w:rPr>
                <w:u w:val="single"/>
                <w:lang w:val="it-IT"/>
              </w:rPr>
            </w:pPr>
            <w:r w:rsidRPr="004A3AA9">
              <w:rPr>
                <w:u w:val="single"/>
                <w:lang w:val="it-IT"/>
              </w:rPr>
              <w:t>Séance introductive</w:t>
            </w:r>
          </w:p>
        </w:tc>
      </w:tr>
      <w:tr w:rsidR="00494E3C" w:rsidRPr="000844E6" w:rsidTr="004A3AA9">
        <w:tc>
          <w:tcPr>
            <w:tcW w:w="2054" w:type="dxa"/>
          </w:tcPr>
          <w:p w:rsidR="004A3AA9" w:rsidRDefault="004A3AA9" w:rsidP="00B52FE9">
            <w:pPr>
              <w:jc w:val="center"/>
              <w:rPr>
                <w:lang w:val="it-IT"/>
              </w:rPr>
            </w:pPr>
          </w:p>
          <w:p w:rsidR="00494E3C" w:rsidRPr="006E15C3" w:rsidRDefault="00494E3C" w:rsidP="00B52FE9">
            <w:pPr>
              <w:jc w:val="center"/>
              <w:rPr>
                <w:lang w:val="it-IT"/>
              </w:rPr>
            </w:pPr>
            <w:r w:rsidRPr="006E15C3">
              <w:rPr>
                <w:lang w:val="it-IT"/>
              </w:rPr>
              <w:t>2.</w:t>
            </w:r>
          </w:p>
          <w:p w:rsidR="00494E3C" w:rsidRPr="006E15C3" w:rsidRDefault="00494E3C" w:rsidP="00B52FE9">
            <w:pPr>
              <w:jc w:val="center"/>
              <w:rPr>
                <w:lang w:val="it-IT"/>
              </w:rPr>
            </w:pPr>
            <w:r w:rsidRPr="006E15C3">
              <w:rPr>
                <w:lang w:val="it-IT"/>
              </w:rPr>
              <w:t xml:space="preserve">27 novembre </w:t>
            </w:r>
            <w:r>
              <w:rPr>
                <w:lang w:val="it-IT"/>
              </w:rPr>
              <w:t>2013</w:t>
            </w:r>
          </w:p>
        </w:tc>
        <w:tc>
          <w:tcPr>
            <w:tcW w:w="3157" w:type="dxa"/>
          </w:tcPr>
          <w:p w:rsidR="00494E3C" w:rsidRPr="00CE3B43" w:rsidRDefault="00494E3C" w:rsidP="00B52FE9">
            <w:pPr>
              <w:jc w:val="center"/>
            </w:pPr>
          </w:p>
          <w:p w:rsidR="00494E3C" w:rsidRPr="00CE3B43" w:rsidRDefault="00494E3C" w:rsidP="00B52FE9">
            <w:pPr>
              <w:jc w:val="center"/>
            </w:pPr>
            <w:r w:rsidRPr="00CE3B43">
              <w:t>Ma</w:t>
            </w:r>
            <w:r w:rsidR="00DF23B0">
              <w:t>t</w:t>
            </w:r>
            <w:r w:rsidRPr="00CE3B43">
              <w:t xml:space="preserve">thieu </w:t>
            </w:r>
            <w:proofErr w:type="spellStart"/>
            <w:r w:rsidRPr="00CE3B43">
              <w:t>Scherman</w:t>
            </w:r>
            <w:proofErr w:type="spellEnd"/>
          </w:p>
          <w:p w:rsidR="003D0A34" w:rsidRPr="00CE3B43" w:rsidRDefault="003D0A34" w:rsidP="00B52FE9">
            <w:pPr>
              <w:jc w:val="center"/>
            </w:pPr>
            <w:r w:rsidRPr="00CE3B43">
              <w:t>(</w:t>
            </w:r>
            <w:r w:rsidR="002927AB" w:rsidRPr="00CE3B43">
              <w:t>École</w:t>
            </w:r>
            <w:r w:rsidRPr="00CE3B43">
              <w:t xml:space="preserve"> française de Rome)</w:t>
            </w:r>
          </w:p>
        </w:tc>
        <w:tc>
          <w:tcPr>
            <w:tcW w:w="4001" w:type="dxa"/>
          </w:tcPr>
          <w:p w:rsidR="00494E3C" w:rsidRPr="000844E6" w:rsidRDefault="00494E3C" w:rsidP="00B52FE9">
            <w:pPr>
              <w:jc w:val="center"/>
            </w:pPr>
          </w:p>
          <w:p w:rsidR="00494E3C" w:rsidRDefault="00135AD2" w:rsidP="00B52FE9">
            <w:pPr>
              <w:jc w:val="center"/>
              <w:rPr>
                <w:lang w:val="it-IT"/>
              </w:rPr>
            </w:pPr>
            <w:r w:rsidRPr="007F6DEC">
              <w:rPr>
                <w:lang w:val="it-IT"/>
              </w:rPr>
              <w:t xml:space="preserve">Le </w:t>
            </w:r>
            <w:r w:rsidRPr="007F6DEC">
              <w:rPr>
                <w:i/>
                <w:lang w:val="it-IT"/>
              </w:rPr>
              <w:t xml:space="preserve">Libro Stella </w:t>
            </w:r>
            <w:r w:rsidRPr="007F6DEC">
              <w:rPr>
                <w:lang w:val="it-IT"/>
              </w:rPr>
              <w:t xml:space="preserve"> : le registre-bilan de la firme Salviati (1471-1517)</w:t>
            </w:r>
          </w:p>
          <w:p w:rsidR="004A3AA9" w:rsidRPr="00760552" w:rsidRDefault="004A3AA9" w:rsidP="00B52FE9">
            <w:pPr>
              <w:jc w:val="center"/>
              <w:rPr>
                <w:lang w:val="it-IT"/>
              </w:rPr>
            </w:pPr>
          </w:p>
        </w:tc>
      </w:tr>
      <w:tr w:rsidR="00494E3C" w:rsidRPr="006E15C3" w:rsidTr="004A3AA9">
        <w:tc>
          <w:tcPr>
            <w:tcW w:w="2054" w:type="dxa"/>
          </w:tcPr>
          <w:p w:rsidR="004A3AA9" w:rsidRDefault="004A3AA9" w:rsidP="00B52FE9">
            <w:pPr>
              <w:jc w:val="center"/>
            </w:pPr>
          </w:p>
          <w:p w:rsidR="00494E3C" w:rsidRPr="006E15C3" w:rsidRDefault="00494E3C" w:rsidP="00B52FE9">
            <w:pPr>
              <w:jc w:val="center"/>
            </w:pPr>
            <w:r w:rsidRPr="006E15C3">
              <w:t>3.</w:t>
            </w:r>
          </w:p>
          <w:p w:rsidR="00494E3C" w:rsidRPr="006E15C3" w:rsidRDefault="00494E3C" w:rsidP="00B52FE9">
            <w:pPr>
              <w:jc w:val="center"/>
              <w:rPr>
                <w:lang w:val="it-IT"/>
              </w:rPr>
            </w:pPr>
            <w:r w:rsidRPr="006E15C3">
              <w:t xml:space="preserve">11 décembre </w:t>
            </w:r>
            <w:r>
              <w:t>2013</w:t>
            </w:r>
          </w:p>
        </w:tc>
        <w:tc>
          <w:tcPr>
            <w:tcW w:w="3157" w:type="dxa"/>
          </w:tcPr>
          <w:p w:rsidR="00494E3C" w:rsidRPr="003D0A34" w:rsidRDefault="00494E3C" w:rsidP="00B52FE9">
            <w:pPr>
              <w:jc w:val="center"/>
              <w:rPr>
                <w:highlight w:val="yellow"/>
                <w:lang w:val="it-IT"/>
              </w:rPr>
            </w:pPr>
          </w:p>
          <w:p w:rsidR="00494E3C" w:rsidRPr="00A7561D" w:rsidRDefault="00494E3C" w:rsidP="00B52FE9">
            <w:pPr>
              <w:jc w:val="center"/>
              <w:rPr>
                <w:lang w:val="it-IT"/>
              </w:rPr>
            </w:pPr>
            <w:r w:rsidRPr="00A7561D">
              <w:rPr>
                <w:lang w:val="it-IT"/>
              </w:rPr>
              <w:t>Francesco Guidi Bruscoli</w:t>
            </w:r>
          </w:p>
          <w:p w:rsidR="003D0A34" w:rsidRPr="003D0A34" w:rsidRDefault="003D0A34" w:rsidP="00B52FE9">
            <w:pPr>
              <w:jc w:val="center"/>
              <w:rPr>
                <w:highlight w:val="yellow"/>
                <w:lang w:val="it-IT"/>
              </w:rPr>
            </w:pPr>
            <w:r w:rsidRPr="00A7561D">
              <w:rPr>
                <w:lang w:val="it-IT"/>
              </w:rPr>
              <w:t xml:space="preserve">(Università </w:t>
            </w:r>
            <w:r w:rsidR="00F16722" w:rsidRPr="00A7561D">
              <w:rPr>
                <w:lang w:val="it-IT"/>
              </w:rPr>
              <w:t>di Firenze)</w:t>
            </w:r>
          </w:p>
        </w:tc>
        <w:tc>
          <w:tcPr>
            <w:tcW w:w="4001" w:type="dxa"/>
          </w:tcPr>
          <w:p w:rsidR="00494E3C" w:rsidRPr="003D0A34" w:rsidRDefault="00494E3C" w:rsidP="00B52FE9">
            <w:pPr>
              <w:jc w:val="center"/>
              <w:rPr>
                <w:highlight w:val="yellow"/>
                <w:lang w:val="it-IT"/>
              </w:rPr>
            </w:pPr>
          </w:p>
          <w:p w:rsidR="00494E3C" w:rsidRDefault="00A7561D" w:rsidP="00B52FE9">
            <w:pPr>
              <w:jc w:val="center"/>
            </w:pPr>
            <w:r>
              <w:t>Londres et Bruges dans les livres comptables des compagnies italiennes (XIV</w:t>
            </w:r>
            <w:r w:rsidRPr="00A7561D">
              <w:rPr>
                <w:vertAlign w:val="superscript"/>
              </w:rPr>
              <w:t>e</w:t>
            </w:r>
            <w:r>
              <w:t>-XVI</w:t>
            </w:r>
            <w:r w:rsidRPr="00A7561D">
              <w:rPr>
                <w:vertAlign w:val="superscript"/>
              </w:rPr>
              <w:t>e</w:t>
            </w:r>
            <w:r>
              <w:t xml:space="preserve"> siècles)</w:t>
            </w:r>
          </w:p>
          <w:p w:rsidR="004A3AA9" w:rsidRPr="00DF23B0" w:rsidRDefault="004A3AA9" w:rsidP="00B52FE9">
            <w:pPr>
              <w:jc w:val="center"/>
              <w:rPr>
                <w:highlight w:val="yellow"/>
              </w:rPr>
            </w:pPr>
          </w:p>
        </w:tc>
      </w:tr>
      <w:tr w:rsidR="00494E3C" w:rsidRPr="006E15C3" w:rsidTr="004A3AA9">
        <w:tc>
          <w:tcPr>
            <w:tcW w:w="2054" w:type="dxa"/>
          </w:tcPr>
          <w:p w:rsidR="00494E3C" w:rsidRDefault="00494E3C" w:rsidP="00B52FE9">
            <w:pPr>
              <w:jc w:val="center"/>
            </w:pPr>
          </w:p>
          <w:p w:rsidR="00494E3C" w:rsidRPr="006E15C3" w:rsidRDefault="00494E3C" w:rsidP="00B52FE9">
            <w:pPr>
              <w:jc w:val="center"/>
            </w:pPr>
            <w:r w:rsidRPr="006E15C3">
              <w:t>4.</w:t>
            </w:r>
          </w:p>
          <w:p w:rsidR="00494E3C" w:rsidRPr="006E15C3" w:rsidRDefault="00494E3C" w:rsidP="00B52FE9">
            <w:pPr>
              <w:jc w:val="center"/>
              <w:rPr>
                <w:lang w:val="it-IT"/>
              </w:rPr>
            </w:pPr>
            <w:r w:rsidRPr="006E15C3">
              <w:t xml:space="preserve">8 janvier </w:t>
            </w:r>
            <w:r>
              <w:t>2014</w:t>
            </w:r>
          </w:p>
        </w:tc>
        <w:tc>
          <w:tcPr>
            <w:tcW w:w="3157" w:type="dxa"/>
          </w:tcPr>
          <w:p w:rsidR="00494E3C" w:rsidRPr="00F16722" w:rsidRDefault="00494E3C" w:rsidP="00B52FE9">
            <w:pPr>
              <w:jc w:val="center"/>
            </w:pPr>
          </w:p>
          <w:p w:rsidR="007878C3" w:rsidRDefault="00494E3C" w:rsidP="00B52FE9">
            <w:pPr>
              <w:jc w:val="center"/>
            </w:pPr>
            <w:r w:rsidRPr="00F16722">
              <w:t>Jacques Bottin</w:t>
            </w:r>
            <w:r w:rsidR="003D0A34" w:rsidRPr="00F16722">
              <w:t xml:space="preserve"> </w:t>
            </w:r>
          </w:p>
          <w:p w:rsidR="004A3AA9" w:rsidRDefault="003D0A34" w:rsidP="007878C3">
            <w:pPr>
              <w:jc w:val="center"/>
            </w:pPr>
            <w:r w:rsidRPr="00F16722">
              <w:t>(CNRS</w:t>
            </w:r>
            <w:r w:rsidR="004A3AA9">
              <w:rPr>
                <w:lang w:val="it-IT"/>
              </w:rPr>
              <w:t>-IHMC</w:t>
            </w:r>
            <w:r w:rsidRPr="00F16722">
              <w:t>)</w:t>
            </w:r>
          </w:p>
          <w:p w:rsidR="004A3AA9" w:rsidRDefault="004A3AA9" w:rsidP="00B52FE9">
            <w:pPr>
              <w:jc w:val="center"/>
            </w:pPr>
          </w:p>
          <w:p w:rsidR="007878C3" w:rsidRDefault="00494E3C" w:rsidP="00B52FE9">
            <w:pPr>
              <w:jc w:val="center"/>
            </w:pPr>
            <w:r w:rsidRPr="00F16722">
              <w:t xml:space="preserve">Agnès </w:t>
            </w:r>
            <w:proofErr w:type="spellStart"/>
            <w:r w:rsidRPr="00F16722">
              <w:t>Pallini</w:t>
            </w:r>
            <w:proofErr w:type="spellEnd"/>
            <w:r w:rsidRPr="00F16722">
              <w:t>-Martin</w:t>
            </w:r>
            <w:r w:rsidR="00F16722" w:rsidRPr="00F16722">
              <w:t xml:space="preserve"> </w:t>
            </w:r>
          </w:p>
          <w:p w:rsidR="00494E3C" w:rsidRPr="00F16722" w:rsidRDefault="00F16722" w:rsidP="00B52FE9">
            <w:pPr>
              <w:jc w:val="center"/>
            </w:pPr>
            <w:r w:rsidRPr="00F16722">
              <w:t>(EHESS)</w:t>
            </w:r>
          </w:p>
        </w:tc>
        <w:tc>
          <w:tcPr>
            <w:tcW w:w="4001" w:type="dxa"/>
          </w:tcPr>
          <w:p w:rsidR="004A3AA9" w:rsidRDefault="004A3AA9" w:rsidP="004A3AA9">
            <w:pPr>
              <w:jc w:val="center"/>
            </w:pPr>
          </w:p>
          <w:p w:rsidR="00494E3C" w:rsidRDefault="004A3AA9" w:rsidP="004A3AA9">
            <w:pPr>
              <w:jc w:val="center"/>
            </w:pPr>
            <w:r>
              <w:t>Le</w:t>
            </w:r>
            <w:r w:rsidR="00494E3C" w:rsidRPr="00E2528B">
              <w:t xml:space="preserve"> </w:t>
            </w:r>
            <w:r>
              <w:t>système comptable Salviati (première moitié du XVI</w:t>
            </w:r>
            <w:r w:rsidRPr="004A3AA9">
              <w:rPr>
                <w:vertAlign w:val="superscript"/>
              </w:rPr>
              <w:t>e</w:t>
            </w:r>
            <w:r>
              <w:t xml:space="preserve"> siècle)</w:t>
            </w:r>
          </w:p>
          <w:p w:rsidR="004A3AA9" w:rsidRPr="00E2528B" w:rsidRDefault="004A3AA9" w:rsidP="004A3AA9">
            <w:pPr>
              <w:jc w:val="center"/>
            </w:pPr>
          </w:p>
          <w:p w:rsidR="00964716" w:rsidRDefault="00494E3C" w:rsidP="00964716">
            <w:pPr>
              <w:jc w:val="center"/>
              <w:rPr>
                <w:lang w:val="it-IT"/>
              </w:rPr>
            </w:pPr>
            <w:r>
              <w:rPr>
                <w:lang w:val="it-IT"/>
              </w:rPr>
              <w:t xml:space="preserve">Le </w:t>
            </w:r>
            <w:r>
              <w:rPr>
                <w:i/>
                <w:lang w:val="it-IT"/>
              </w:rPr>
              <w:t>Libro segreto</w:t>
            </w:r>
            <w:r w:rsidR="004A3AA9">
              <w:rPr>
                <w:lang w:val="it-IT"/>
              </w:rPr>
              <w:t xml:space="preserve"> des Salviati de Lyon</w:t>
            </w:r>
            <w:r w:rsidR="00111E22">
              <w:rPr>
                <w:lang w:val="it-IT"/>
              </w:rPr>
              <w:t xml:space="preserve"> (1508-1528)</w:t>
            </w:r>
          </w:p>
          <w:p w:rsidR="004A3AA9" w:rsidRPr="004A3AA9" w:rsidRDefault="004A3AA9" w:rsidP="004A3AA9">
            <w:pPr>
              <w:jc w:val="center"/>
              <w:rPr>
                <w:lang w:val="it-IT"/>
              </w:rPr>
            </w:pPr>
          </w:p>
        </w:tc>
      </w:tr>
      <w:tr w:rsidR="00494E3C" w:rsidRPr="006E15C3" w:rsidTr="004A3AA9">
        <w:tc>
          <w:tcPr>
            <w:tcW w:w="2054" w:type="dxa"/>
          </w:tcPr>
          <w:p w:rsidR="004A3AA9" w:rsidRDefault="004A3AA9" w:rsidP="00B52FE9">
            <w:pPr>
              <w:jc w:val="center"/>
            </w:pPr>
          </w:p>
          <w:p w:rsidR="00494E3C" w:rsidRPr="006E15C3" w:rsidRDefault="00494E3C" w:rsidP="00B52FE9">
            <w:pPr>
              <w:jc w:val="center"/>
            </w:pPr>
            <w:r w:rsidRPr="006E15C3">
              <w:t>5.</w:t>
            </w:r>
          </w:p>
          <w:p w:rsidR="00494E3C" w:rsidRPr="006E15C3" w:rsidRDefault="00494E3C" w:rsidP="00B52FE9">
            <w:pPr>
              <w:jc w:val="center"/>
              <w:rPr>
                <w:lang w:val="it-IT"/>
              </w:rPr>
            </w:pPr>
            <w:r w:rsidRPr="006E15C3">
              <w:t xml:space="preserve">22 janvier </w:t>
            </w:r>
            <w:r>
              <w:t>2014</w:t>
            </w:r>
          </w:p>
        </w:tc>
        <w:tc>
          <w:tcPr>
            <w:tcW w:w="3157" w:type="dxa"/>
          </w:tcPr>
          <w:p w:rsidR="00494E3C" w:rsidRDefault="00494E3C" w:rsidP="00B52FE9">
            <w:pPr>
              <w:jc w:val="center"/>
              <w:rPr>
                <w:lang w:val="it-IT"/>
              </w:rPr>
            </w:pPr>
          </w:p>
          <w:p w:rsidR="00ED6EAC" w:rsidRDefault="00494E3C" w:rsidP="00B52FE9">
            <w:pPr>
              <w:jc w:val="center"/>
              <w:rPr>
                <w:lang w:val="it-IT"/>
              </w:rPr>
            </w:pPr>
            <w:r>
              <w:rPr>
                <w:lang w:val="it-IT"/>
              </w:rPr>
              <w:t xml:space="preserve">Clément Lenoble </w:t>
            </w:r>
          </w:p>
          <w:p w:rsidR="00494E3C" w:rsidRPr="006E15C3" w:rsidRDefault="003D0A34" w:rsidP="00B52FE9">
            <w:pPr>
              <w:jc w:val="center"/>
              <w:rPr>
                <w:lang w:val="it-IT"/>
              </w:rPr>
            </w:pPr>
            <w:r>
              <w:rPr>
                <w:lang w:val="it-IT"/>
              </w:rPr>
              <w:t>(CNRS</w:t>
            </w:r>
            <w:r w:rsidR="00ED6EAC">
              <w:rPr>
                <w:lang w:val="it-IT"/>
              </w:rPr>
              <w:t>-CIHAM</w:t>
            </w:r>
            <w:r>
              <w:rPr>
                <w:lang w:val="it-IT"/>
              </w:rPr>
              <w:t>)</w:t>
            </w:r>
          </w:p>
        </w:tc>
        <w:tc>
          <w:tcPr>
            <w:tcW w:w="4001" w:type="dxa"/>
          </w:tcPr>
          <w:p w:rsidR="00494E3C" w:rsidRPr="00CE3B43" w:rsidRDefault="00494E3C" w:rsidP="00B52FE9">
            <w:pPr>
              <w:jc w:val="center"/>
            </w:pPr>
          </w:p>
          <w:p w:rsidR="003D0A34" w:rsidRDefault="003D0A34" w:rsidP="00B52FE9">
            <w:pPr>
              <w:jc w:val="center"/>
            </w:pPr>
            <w:r>
              <w:t xml:space="preserve">Les écritures comptables ecclésiastiques en Provence et en Italie </w:t>
            </w:r>
          </w:p>
          <w:p w:rsidR="00494E3C" w:rsidRDefault="003D0A34" w:rsidP="00B52FE9">
            <w:pPr>
              <w:jc w:val="center"/>
            </w:pPr>
            <w:r>
              <w:t>(XIII</w:t>
            </w:r>
            <w:r w:rsidRPr="00A7561D">
              <w:rPr>
                <w:vertAlign w:val="superscript"/>
              </w:rPr>
              <w:t>e</w:t>
            </w:r>
            <w:r>
              <w:t>-XV</w:t>
            </w:r>
            <w:r w:rsidRPr="00A7561D">
              <w:rPr>
                <w:vertAlign w:val="superscript"/>
              </w:rPr>
              <w:t>e</w:t>
            </w:r>
            <w:r>
              <w:t xml:space="preserve"> siècles)</w:t>
            </w:r>
          </w:p>
          <w:p w:rsidR="004A3AA9" w:rsidRPr="003D0A34" w:rsidRDefault="004A3AA9" w:rsidP="00B52FE9">
            <w:pPr>
              <w:jc w:val="center"/>
            </w:pPr>
          </w:p>
        </w:tc>
      </w:tr>
      <w:tr w:rsidR="00494E3C" w:rsidRPr="00510671" w:rsidTr="004A3AA9">
        <w:tc>
          <w:tcPr>
            <w:tcW w:w="2054" w:type="dxa"/>
          </w:tcPr>
          <w:p w:rsidR="004A3AA9" w:rsidRDefault="004A3AA9" w:rsidP="00B52FE9">
            <w:pPr>
              <w:jc w:val="center"/>
            </w:pPr>
          </w:p>
          <w:p w:rsidR="00494E3C" w:rsidRPr="006E15C3" w:rsidRDefault="00494E3C" w:rsidP="00B52FE9">
            <w:pPr>
              <w:jc w:val="center"/>
            </w:pPr>
            <w:r w:rsidRPr="006E15C3">
              <w:t>6.</w:t>
            </w:r>
          </w:p>
          <w:p w:rsidR="00494E3C" w:rsidRPr="00760552" w:rsidRDefault="00494E3C" w:rsidP="00B52FE9">
            <w:pPr>
              <w:jc w:val="center"/>
            </w:pPr>
            <w:r w:rsidRPr="006E15C3">
              <w:t xml:space="preserve">12 février </w:t>
            </w:r>
            <w:r>
              <w:t>2014</w:t>
            </w:r>
          </w:p>
        </w:tc>
        <w:tc>
          <w:tcPr>
            <w:tcW w:w="3157" w:type="dxa"/>
          </w:tcPr>
          <w:p w:rsidR="004000FA" w:rsidRPr="00DF23B0" w:rsidRDefault="004000FA" w:rsidP="00B52FE9">
            <w:pPr>
              <w:jc w:val="center"/>
            </w:pPr>
          </w:p>
          <w:p w:rsidR="00494E3C" w:rsidRPr="00DF23B0" w:rsidRDefault="004000FA" w:rsidP="004000FA">
            <w:pPr>
              <w:jc w:val="center"/>
            </w:pPr>
            <w:r w:rsidRPr="00DF23B0">
              <w:t xml:space="preserve">Antoni </w:t>
            </w:r>
            <w:proofErr w:type="spellStart"/>
            <w:r w:rsidRPr="00DF23B0">
              <w:t>Furió</w:t>
            </w:r>
            <w:proofErr w:type="spellEnd"/>
          </w:p>
          <w:p w:rsidR="00ED27B5" w:rsidRDefault="00ED27B5" w:rsidP="004000FA">
            <w:pPr>
              <w:jc w:val="center"/>
            </w:pPr>
            <w:r w:rsidRPr="00DF23B0">
              <w:t>(Université de Valence)</w:t>
            </w:r>
          </w:p>
          <w:p w:rsidR="004A3AA9" w:rsidRPr="00DF23B0" w:rsidRDefault="004A3AA9" w:rsidP="004000FA">
            <w:pPr>
              <w:jc w:val="center"/>
            </w:pPr>
          </w:p>
        </w:tc>
        <w:tc>
          <w:tcPr>
            <w:tcW w:w="4001" w:type="dxa"/>
          </w:tcPr>
          <w:p w:rsidR="00494E3C" w:rsidRPr="00E2528B" w:rsidRDefault="00494E3C" w:rsidP="00B52FE9">
            <w:pPr>
              <w:jc w:val="center"/>
            </w:pPr>
          </w:p>
          <w:p w:rsidR="00494E3C" w:rsidRPr="00A7561D" w:rsidRDefault="00A7561D" w:rsidP="00123D83">
            <w:pPr>
              <w:jc w:val="center"/>
              <w:rPr>
                <w:i/>
              </w:rPr>
            </w:pPr>
            <w:r w:rsidRPr="00A7561D">
              <w:rPr>
                <w:i/>
              </w:rPr>
              <w:t>Titre à venir</w:t>
            </w:r>
          </w:p>
        </w:tc>
      </w:tr>
      <w:tr w:rsidR="00494E3C" w:rsidRPr="00CC6D28" w:rsidTr="004A3AA9">
        <w:tc>
          <w:tcPr>
            <w:tcW w:w="2054" w:type="dxa"/>
          </w:tcPr>
          <w:p w:rsidR="004A3AA9" w:rsidRDefault="004A3AA9" w:rsidP="00B52FE9">
            <w:pPr>
              <w:jc w:val="center"/>
            </w:pPr>
          </w:p>
          <w:p w:rsidR="00494E3C" w:rsidRPr="006E15C3" w:rsidRDefault="00494E3C" w:rsidP="00B52FE9">
            <w:pPr>
              <w:jc w:val="center"/>
            </w:pPr>
            <w:r w:rsidRPr="006E15C3">
              <w:t>7.</w:t>
            </w:r>
          </w:p>
          <w:p w:rsidR="00494E3C" w:rsidRPr="006E15C3" w:rsidRDefault="00494E3C" w:rsidP="00B52FE9">
            <w:pPr>
              <w:jc w:val="center"/>
              <w:rPr>
                <w:lang w:val="it-IT"/>
              </w:rPr>
            </w:pPr>
            <w:r w:rsidRPr="006E15C3">
              <w:t xml:space="preserve">26 février </w:t>
            </w:r>
            <w:r>
              <w:t>2014</w:t>
            </w:r>
          </w:p>
        </w:tc>
        <w:tc>
          <w:tcPr>
            <w:tcW w:w="3157" w:type="dxa"/>
          </w:tcPr>
          <w:p w:rsidR="0023796A" w:rsidRDefault="0023796A" w:rsidP="004A3AA9">
            <w:pPr>
              <w:jc w:val="center"/>
            </w:pPr>
          </w:p>
          <w:p w:rsidR="004A3AA9" w:rsidRDefault="00494E3C" w:rsidP="004A3AA9">
            <w:pPr>
              <w:jc w:val="center"/>
            </w:pPr>
            <w:r w:rsidRPr="00CC6D28">
              <w:t>Suzanne Lassalle</w:t>
            </w:r>
            <w:r w:rsidR="003D0A34">
              <w:t xml:space="preserve"> </w:t>
            </w:r>
          </w:p>
          <w:p w:rsidR="00494E3C" w:rsidRDefault="003D0A34" w:rsidP="004A3AA9">
            <w:pPr>
              <w:jc w:val="center"/>
            </w:pPr>
            <w:r>
              <w:t>(</w:t>
            </w:r>
            <w:r w:rsidR="004A3AA9">
              <w:t>EUI-Florence</w:t>
            </w:r>
            <w:r>
              <w:t>)</w:t>
            </w:r>
          </w:p>
          <w:p w:rsidR="004A3AA9" w:rsidRPr="00CC6D28" w:rsidRDefault="004A3AA9" w:rsidP="00B52FE9">
            <w:pPr>
              <w:jc w:val="center"/>
            </w:pPr>
          </w:p>
          <w:p w:rsidR="00494E3C" w:rsidRDefault="00494E3C" w:rsidP="00B52FE9">
            <w:pPr>
              <w:jc w:val="center"/>
            </w:pPr>
            <w:r w:rsidRPr="00CC6D28">
              <w:t>Sophie Desrosiers</w:t>
            </w:r>
            <w:r w:rsidR="003D0A34">
              <w:t xml:space="preserve"> (EHESS)</w:t>
            </w:r>
          </w:p>
          <w:p w:rsidR="004A3AA9" w:rsidRPr="00CC6D28" w:rsidRDefault="004A3AA9" w:rsidP="00B52FE9">
            <w:pPr>
              <w:jc w:val="center"/>
            </w:pPr>
          </w:p>
          <w:p w:rsidR="004A3AA9" w:rsidRDefault="00494E3C" w:rsidP="00B52FE9">
            <w:pPr>
              <w:jc w:val="center"/>
            </w:pPr>
            <w:r w:rsidRPr="00CC6D28">
              <w:t>Mathieu Arnoux</w:t>
            </w:r>
            <w:r w:rsidR="003D0A34">
              <w:t xml:space="preserve"> </w:t>
            </w:r>
          </w:p>
          <w:p w:rsidR="00494E3C" w:rsidRDefault="003D0A34" w:rsidP="00B52FE9">
            <w:pPr>
              <w:jc w:val="center"/>
            </w:pPr>
            <w:r>
              <w:t>(Université Paris 7/EHESS)</w:t>
            </w:r>
          </w:p>
          <w:p w:rsidR="0023796A" w:rsidRPr="00CC6D28" w:rsidRDefault="0023796A" w:rsidP="00B52FE9">
            <w:pPr>
              <w:jc w:val="center"/>
            </w:pPr>
          </w:p>
        </w:tc>
        <w:tc>
          <w:tcPr>
            <w:tcW w:w="4001" w:type="dxa"/>
          </w:tcPr>
          <w:p w:rsidR="003D0A34" w:rsidRPr="00CE3B43" w:rsidRDefault="003D0A34" w:rsidP="00B52FE9">
            <w:pPr>
              <w:jc w:val="center"/>
            </w:pPr>
          </w:p>
          <w:p w:rsidR="004A3AA9" w:rsidRDefault="004A3AA9" w:rsidP="00B52FE9">
            <w:pPr>
              <w:jc w:val="center"/>
            </w:pPr>
          </w:p>
          <w:p w:rsidR="0023796A" w:rsidRDefault="0023796A" w:rsidP="007878C3"/>
          <w:p w:rsidR="00494E3C" w:rsidRDefault="00494E3C" w:rsidP="00B52FE9">
            <w:pPr>
              <w:jc w:val="center"/>
            </w:pPr>
            <w:r w:rsidRPr="003D0A34">
              <w:t>Les comptabilités des compagnies textiles</w:t>
            </w:r>
            <w:r w:rsidR="007878C3">
              <w:t xml:space="preserve"> du fonds Salviati</w:t>
            </w:r>
          </w:p>
          <w:p w:rsidR="007878C3" w:rsidRPr="003D0A34" w:rsidRDefault="007878C3" w:rsidP="00B52FE9">
            <w:pPr>
              <w:jc w:val="center"/>
            </w:pPr>
            <w:r>
              <w:t>(XIV</w:t>
            </w:r>
            <w:r w:rsidRPr="00A7561D">
              <w:rPr>
                <w:vertAlign w:val="superscript"/>
              </w:rPr>
              <w:t>e</w:t>
            </w:r>
            <w:r>
              <w:t>-XVI</w:t>
            </w:r>
            <w:r w:rsidRPr="00A7561D">
              <w:rPr>
                <w:vertAlign w:val="superscript"/>
              </w:rPr>
              <w:t>e</w:t>
            </w:r>
            <w:r>
              <w:t xml:space="preserve"> siècles)</w:t>
            </w:r>
          </w:p>
          <w:p w:rsidR="00494E3C" w:rsidRPr="00CC6D28" w:rsidRDefault="00494E3C" w:rsidP="00B52FE9">
            <w:pPr>
              <w:jc w:val="center"/>
            </w:pPr>
          </w:p>
        </w:tc>
      </w:tr>
      <w:tr w:rsidR="00494E3C" w:rsidRPr="006E15C3" w:rsidTr="004A3AA9">
        <w:tc>
          <w:tcPr>
            <w:tcW w:w="2054" w:type="dxa"/>
          </w:tcPr>
          <w:p w:rsidR="004A3AA9" w:rsidRDefault="004A3AA9" w:rsidP="00B52FE9">
            <w:pPr>
              <w:jc w:val="center"/>
            </w:pPr>
          </w:p>
          <w:p w:rsidR="00494E3C" w:rsidRPr="006E15C3" w:rsidRDefault="00494E3C" w:rsidP="00B52FE9">
            <w:pPr>
              <w:jc w:val="center"/>
            </w:pPr>
            <w:r w:rsidRPr="006E15C3">
              <w:t>8.</w:t>
            </w:r>
          </w:p>
          <w:p w:rsidR="00494E3C" w:rsidRPr="006E15C3" w:rsidRDefault="00494E3C" w:rsidP="00B52FE9">
            <w:pPr>
              <w:jc w:val="center"/>
              <w:rPr>
                <w:lang w:val="it-IT"/>
              </w:rPr>
            </w:pPr>
            <w:r w:rsidRPr="006E15C3">
              <w:t xml:space="preserve">12 mars </w:t>
            </w:r>
            <w:r>
              <w:t>2014</w:t>
            </w:r>
          </w:p>
        </w:tc>
        <w:tc>
          <w:tcPr>
            <w:tcW w:w="3157" w:type="dxa"/>
          </w:tcPr>
          <w:p w:rsidR="00494E3C" w:rsidRDefault="00494E3C" w:rsidP="00B52FE9">
            <w:pPr>
              <w:jc w:val="center"/>
              <w:rPr>
                <w:lang w:val="it-IT"/>
              </w:rPr>
            </w:pPr>
          </w:p>
          <w:p w:rsidR="00494E3C" w:rsidRPr="006E15C3" w:rsidRDefault="004000FA" w:rsidP="00B52FE9">
            <w:pPr>
              <w:jc w:val="center"/>
              <w:rPr>
                <w:lang w:val="it-IT"/>
              </w:rPr>
            </w:pPr>
            <w:r>
              <w:rPr>
                <w:lang w:val="it-IT"/>
              </w:rPr>
              <w:t>Ingrid Houssaye Michienzi (Université Paris 7</w:t>
            </w:r>
            <w:r w:rsidR="000049BD">
              <w:rPr>
                <w:lang w:val="it-IT"/>
              </w:rPr>
              <w:t>-ICT</w:t>
            </w:r>
            <w:r>
              <w:rPr>
                <w:lang w:val="it-IT"/>
              </w:rPr>
              <w:t>)</w:t>
            </w:r>
          </w:p>
        </w:tc>
        <w:tc>
          <w:tcPr>
            <w:tcW w:w="4001" w:type="dxa"/>
          </w:tcPr>
          <w:p w:rsidR="00494E3C" w:rsidRPr="00DF23B0" w:rsidRDefault="00494E3C" w:rsidP="00B52FE9">
            <w:pPr>
              <w:jc w:val="center"/>
            </w:pPr>
          </w:p>
          <w:p w:rsidR="00494E3C" w:rsidRDefault="004000FA" w:rsidP="00B52FE9">
            <w:pPr>
              <w:jc w:val="center"/>
            </w:pPr>
            <w:r>
              <w:t>La tenue des livres des comptes à la fin du XIV</w:t>
            </w:r>
            <w:r w:rsidRPr="00123D83">
              <w:rPr>
                <w:vertAlign w:val="superscript"/>
              </w:rPr>
              <w:t>e</w:t>
            </w:r>
            <w:r>
              <w:t xml:space="preserve"> siècle d’après les fonds </w:t>
            </w:r>
            <w:proofErr w:type="spellStart"/>
            <w:r>
              <w:t>Datini</w:t>
            </w:r>
            <w:proofErr w:type="spellEnd"/>
            <w:r>
              <w:t xml:space="preserve"> et Salviati</w:t>
            </w:r>
          </w:p>
          <w:p w:rsidR="0023796A" w:rsidRPr="00DF23B0" w:rsidRDefault="0023796A" w:rsidP="00B52FE9">
            <w:pPr>
              <w:jc w:val="center"/>
            </w:pPr>
          </w:p>
        </w:tc>
      </w:tr>
      <w:tr w:rsidR="00494E3C" w:rsidRPr="00887CAF" w:rsidTr="004A3AA9">
        <w:tc>
          <w:tcPr>
            <w:tcW w:w="2054" w:type="dxa"/>
          </w:tcPr>
          <w:p w:rsidR="004A3AA9" w:rsidRDefault="004A3AA9" w:rsidP="00B52FE9">
            <w:pPr>
              <w:jc w:val="center"/>
            </w:pPr>
          </w:p>
          <w:p w:rsidR="00494E3C" w:rsidRPr="006E15C3" w:rsidRDefault="00494E3C" w:rsidP="00B52FE9">
            <w:pPr>
              <w:jc w:val="center"/>
            </w:pPr>
            <w:r w:rsidRPr="006E15C3">
              <w:t>9.</w:t>
            </w:r>
          </w:p>
          <w:p w:rsidR="00494E3C" w:rsidRPr="006E15C3" w:rsidRDefault="00494E3C" w:rsidP="00B52FE9">
            <w:pPr>
              <w:jc w:val="center"/>
              <w:rPr>
                <w:lang w:val="it-IT"/>
              </w:rPr>
            </w:pPr>
            <w:r w:rsidRPr="006E15C3">
              <w:t xml:space="preserve">26 mars </w:t>
            </w:r>
            <w:r>
              <w:t>2014</w:t>
            </w:r>
          </w:p>
        </w:tc>
        <w:tc>
          <w:tcPr>
            <w:tcW w:w="3157" w:type="dxa"/>
          </w:tcPr>
          <w:p w:rsidR="00494E3C" w:rsidRPr="003D0A34" w:rsidRDefault="00494E3C" w:rsidP="00B52FE9">
            <w:pPr>
              <w:jc w:val="center"/>
            </w:pPr>
          </w:p>
          <w:p w:rsidR="004A3AA9" w:rsidRDefault="00494E3C" w:rsidP="004A3AA9">
            <w:pPr>
              <w:jc w:val="center"/>
            </w:pPr>
            <w:r w:rsidRPr="003D0A34">
              <w:t xml:space="preserve">Nadia </w:t>
            </w:r>
            <w:proofErr w:type="spellStart"/>
            <w:r w:rsidRPr="003D0A34">
              <w:t>Matringe</w:t>
            </w:r>
            <w:proofErr w:type="spellEnd"/>
            <w:r w:rsidR="003D0A34" w:rsidRPr="003D0A34">
              <w:t xml:space="preserve"> </w:t>
            </w:r>
          </w:p>
          <w:p w:rsidR="004A3AA9" w:rsidRDefault="004A3AA9" w:rsidP="004A3AA9">
            <w:pPr>
              <w:jc w:val="center"/>
            </w:pPr>
            <w:r>
              <w:t>(EUI-Florence)</w:t>
            </w:r>
          </w:p>
          <w:p w:rsidR="00494E3C" w:rsidRPr="003D0A34" w:rsidRDefault="00494E3C" w:rsidP="00B52FE9">
            <w:pPr>
              <w:jc w:val="center"/>
            </w:pPr>
          </w:p>
        </w:tc>
        <w:tc>
          <w:tcPr>
            <w:tcW w:w="4001" w:type="dxa"/>
          </w:tcPr>
          <w:p w:rsidR="00494E3C" w:rsidRPr="00E2528B" w:rsidRDefault="00494E3C" w:rsidP="00B52FE9">
            <w:pPr>
              <w:jc w:val="center"/>
            </w:pPr>
          </w:p>
          <w:p w:rsidR="00494E3C" w:rsidRDefault="00494E3C" w:rsidP="00B52FE9">
            <w:pPr>
              <w:jc w:val="center"/>
            </w:pPr>
            <w:r w:rsidRPr="00887CAF">
              <w:t>Foires et changes à Lyon et Anvers</w:t>
            </w:r>
          </w:p>
          <w:p w:rsidR="00C246C2" w:rsidRPr="00887CAF" w:rsidRDefault="00C246C2" w:rsidP="00B52FE9">
            <w:pPr>
              <w:jc w:val="center"/>
            </w:pPr>
            <w:r>
              <w:t>(XV</w:t>
            </w:r>
            <w:r w:rsidRPr="00C246C2">
              <w:rPr>
                <w:vertAlign w:val="superscript"/>
              </w:rPr>
              <w:t>e</w:t>
            </w:r>
            <w:r>
              <w:t>-XVI</w:t>
            </w:r>
            <w:r w:rsidRPr="00C246C2">
              <w:rPr>
                <w:vertAlign w:val="superscript"/>
              </w:rPr>
              <w:t>e</w:t>
            </w:r>
            <w:r>
              <w:t xml:space="preserve"> siècles)</w:t>
            </w:r>
          </w:p>
        </w:tc>
      </w:tr>
      <w:tr w:rsidR="00494E3C" w:rsidRPr="006E15C3" w:rsidTr="004A3AA9">
        <w:tc>
          <w:tcPr>
            <w:tcW w:w="2054" w:type="dxa"/>
          </w:tcPr>
          <w:p w:rsidR="004A3AA9" w:rsidRDefault="004A3AA9" w:rsidP="00B52FE9">
            <w:pPr>
              <w:jc w:val="center"/>
              <w:rPr>
                <w:lang w:val="it-IT"/>
              </w:rPr>
            </w:pPr>
          </w:p>
          <w:p w:rsidR="00494E3C" w:rsidRPr="006E15C3" w:rsidRDefault="00494E3C" w:rsidP="00B52FE9">
            <w:pPr>
              <w:jc w:val="center"/>
              <w:rPr>
                <w:lang w:val="it-IT"/>
              </w:rPr>
            </w:pPr>
            <w:r w:rsidRPr="006E15C3">
              <w:rPr>
                <w:lang w:val="it-IT"/>
              </w:rPr>
              <w:t>10.</w:t>
            </w:r>
          </w:p>
          <w:p w:rsidR="00494E3C" w:rsidRPr="006E15C3" w:rsidRDefault="00494E3C" w:rsidP="00B52FE9">
            <w:pPr>
              <w:jc w:val="center"/>
              <w:rPr>
                <w:lang w:val="it-IT"/>
              </w:rPr>
            </w:pPr>
            <w:r w:rsidRPr="006E15C3">
              <w:rPr>
                <w:lang w:val="it-IT"/>
              </w:rPr>
              <w:t xml:space="preserve">9 avril </w:t>
            </w:r>
            <w:r>
              <w:t>2014</w:t>
            </w:r>
          </w:p>
        </w:tc>
        <w:tc>
          <w:tcPr>
            <w:tcW w:w="3157" w:type="dxa"/>
          </w:tcPr>
          <w:p w:rsidR="00494E3C" w:rsidRDefault="00494E3C" w:rsidP="00B52FE9">
            <w:pPr>
              <w:jc w:val="center"/>
              <w:rPr>
                <w:lang w:val="it-IT"/>
              </w:rPr>
            </w:pPr>
          </w:p>
          <w:p w:rsidR="007878C3" w:rsidRDefault="00494E3C" w:rsidP="00B52FE9">
            <w:pPr>
              <w:jc w:val="center"/>
              <w:rPr>
                <w:lang w:val="it-IT"/>
              </w:rPr>
            </w:pPr>
            <w:r>
              <w:rPr>
                <w:lang w:val="it-IT"/>
              </w:rPr>
              <w:t>Daniel Velinov</w:t>
            </w:r>
            <w:r w:rsidR="00F16722">
              <w:rPr>
                <w:lang w:val="it-IT"/>
              </w:rPr>
              <w:t xml:space="preserve"> </w:t>
            </w:r>
          </w:p>
          <w:p w:rsidR="00494E3C" w:rsidRPr="006E15C3" w:rsidRDefault="00F16722" w:rsidP="00B52FE9">
            <w:pPr>
              <w:jc w:val="center"/>
              <w:rPr>
                <w:lang w:val="it-IT"/>
              </w:rPr>
            </w:pPr>
            <w:r>
              <w:rPr>
                <w:lang w:val="it-IT"/>
              </w:rPr>
              <w:t>(LA</w:t>
            </w:r>
            <w:r w:rsidR="000844E6">
              <w:rPr>
                <w:lang w:val="it-IT"/>
              </w:rPr>
              <w:t>R</w:t>
            </w:r>
            <w:r>
              <w:rPr>
                <w:lang w:val="it-IT"/>
              </w:rPr>
              <w:t>HRA)</w:t>
            </w:r>
          </w:p>
        </w:tc>
        <w:tc>
          <w:tcPr>
            <w:tcW w:w="4001" w:type="dxa"/>
          </w:tcPr>
          <w:p w:rsidR="00494E3C" w:rsidRPr="00CE3B43" w:rsidRDefault="00494E3C" w:rsidP="00B52FE9">
            <w:pPr>
              <w:jc w:val="center"/>
            </w:pPr>
          </w:p>
          <w:p w:rsidR="00494E3C" w:rsidRDefault="00CE3B43" w:rsidP="00B52FE9">
            <w:pPr>
              <w:jc w:val="center"/>
            </w:pPr>
            <w:r w:rsidRPr="00CE3B43">
              <w:t>Le marché des changes à Venise au XVII</w:t>
            </w:r>
            <w:r w:rsidRPr="00CE3B43">
              <w:rPr>
                <w:vertAlign w:val="superscript"/>
              </w:rPr>
              <w:t>e</w:t>
            </w:r>
            <w:r w:rsidRPr="00CE3B43">
              <w:t xml:space="preserve"> siècle : fonctionnement, rythme, conjoncture</w:t>
            </w:r>
          </w:p>
          <w:p w:rsidR="0023796A" w:rsidRPr="00CE3B43" w:rsidRDefault="0023796A" w:rsidP="00B52FE9">
            <w:pPr>
              <w:jc w:val="center"/>
            </w:pPr>
          </w:p>
        </w:tc>
      </w:tr>
      <w:tr w:rsidR="00494E3C" w:rsidRPr="006E15C3" w:rsidTr="004A3AA9">
        <w:tc>
          <w:tcPr>
            <w:tcW w:w="2054" w:type="dxa"/>
          </w:tcPr>
          <w:p w:rsidR="004A3AA9" w:rsidRDefault="004A3AA9" w:rsidP="00B52FE9">
            <w:pPr>
              <w:jc w:val="center"/>
              <w:rPr>
                <w:lang w:val="it-IT"/>
              </w:rPr>
            </w:pPr>
          </w:p>
          <w:p w:rsidR="00494E3C" w:rsidRPr="006E15C3" w:rsidRDefault="00494E3C" w:rsidP="00B52FE9">
            <w:pPr>
              <w:jc w:val="center"/>
              <w:rPr>
                <w:lang w:val="it-IT"/>
              </w:rPr>
            </w:pPr>
            <w:r w:rsidRPr="006E15C3">
              <w:rPr>
                <w:lang w:val="it-IT"/>
              </w:rPr>
              <w:t>11.</w:t>
            </w:r>
          </w:p>
          <w:p w:rsidR="00494E3C" w:rsidRPr="006E15C3" w:rsidRDefault="00494E3C" w:rsidP="00B52FE9">
            <w:pPr>
              <w:jc w:val="center"/>
              <w:rPr>
                <w:lang w:val="it-IT"/>
              </w:rPr>
            </w:pPr>
            <w:r w:rsidRPr="006E15C3">
              <w:rPr>
                <w:lang w:val="it-IT"/>
              </w:rPr>
              <w:t xml:space="preserve">14 mai </w:t>
            </w:r>
            <w:r>
              <w:t>2014</w:t>
            </w:r>
          </w:p>
        </w:tc>
        <w:tc>
          <w:tcPr>
            <w:tcW w:w="3157" w:type="dxa"/>
          </w:tcPr>
          <w:p w:rsidR="00494E3C" w:rsidRPr="00C52011" w:rsidRDefault="00494E3C" w:rsidP="00B52FE9">
            <w:pPr>
              <w:jc w:val="center"/>
            </w:pPr>
          </w:p>
          <w:p w:rsidR="00494E3C" w:rsidRPr="00C52011" w:rsidRDefault="00494E3C" w:rsidP="0023796A">
            <w:pPr>
              <w:jc w:val="center"/>
            </w:pPr>
            <w:r w:rsidRPr="00C52011">
              <w:t xml:space="preserve">Vincent </w:t>
            </w:r>
            <w:proofErr w:type="spellStart"/>
            <w:r w:rsidRPr="00C52011">
              <w:t>Demont</w:t>
            </w:r>
            <w:proofErr w:type="spellEnd"/>
            <w:r w:rsidRPr="00C52011">
              <w:t xml:space="preserve"> </w:t>
            </w:r>
            <w:r w:rsidR="00C52011" w:rsidRPr="00C52011">
              <w:t>(Université Paris Ouest Nanterre)</w:t>
            </w:r>
          </w:p>
        </w:tc>
        <w:tc>
          <w:tcPr>
            <w:tcW w:w="4001" w:type="dxa"/>
          </w:tcPr>
          <w:p w:rsidR="00494E3C" w:rsidRPr="00C52011" w:rsidRDefault="00494E3C" w:rsidP="00B52FE9">
            <w:pPr>
              <w:jc w:val="center"/>
            </w:pPr>
          </w:p>
          <w:p w:rsidR="002927AB" w:rsidRDefault="00C52011" w:rsidP="002927AB">
            <w:pPr>
              <w:jc w:val="center"/>
            </w:pPr>
            <w:r>
              <w:t>La quincaillerie de Nuremberg (fin XV</w:t>
            </w:r>
            <w:r w:rsidRPr="00C52011">
              <w:rPr>
                <w:vertAlign w:val="superscript"/>
              </w:rPr>
              <w:t>e</w:t>
            </w:r>
            <w:r>
              <w:t>-début XVIII</w:t>
            </w:r>
            <w:r w:rsidRPr="00C52011">
              <w:rPr>
                <w:vertAlign w:val="superscript"/>
              </w:rPr>
              <w:t>e</w:t>
            </w:r>
            <w:r>
              <w:t xml:space="preserve"> siècle) : une histoire de privilèges ?</w:t>
            </w:r>
          </w:p>
          <w:p w:rsidR="0023796A" w:rsidRPr="00C52011" w:rsidRDefault="0023796A" w:rsidP="002927AB">
            <w:pPr>
              <w:jc w:val="center"/>
            </w:pPr>
          </w:p>
        </w:tc>
      </w:tr>
      <w:tr w:rsidR="00494E3C" w:rsidRPr="006E15C3" w:rsidTr="004A3AA9">
        <w:tc>
          <w:tcPr>
            <w:tcW w:w="2054" w:type="dxa"/>
          </w:tcPr>
          <w:p w:rsidR="004A3AA9" w:rsidRDefault="004A3AA9" w:rsidP="00B52FE9">
            <w:pPr>
              <w:jc w:val="center"/>
              <w:rPr>
                <w:lang w:val="it-IT"/>
              </w:rPr>
            </w:pPr>
          </w:p>
          <w:p w:rsidR="00494E3C" w:rsidRPr="006E15C3" w:rsidRDefault="00494E3C" w:rsidP="00B52FE9">
            <w:pPr>
              <w:jc w:val="center"/>
              <w:rPr>
                <w:lang w:val="it-IT"/>
              </w:rPr>
            </w:pPr>
            <w:r w:rsidRPr="006E15C3">
              <w:rPr>
                <w:lang w:val="it-IT"/>
              </w:rPr>
              <w:t>12.</w:t>
            </w:r>
          </w:p>
          <w:p w:rsidR="00494E3C" w:rsidRDefault="00494E3C" w:rsidP="00B52FE9">
            <w:pPr>
              <w:jc w:val="center"/>
            </w:pPr>
            <w:r w:rsidRPr="006E15C3">
              <w:t xml:space="preserve">28 mai </w:t>
            </w:r>
            <w:r>
              <w:t>2014</w:t>
            </w:r>
          </w:p>
          <w:p w:rsidR="004A3AA9" w:rsidRPr="006E15C3" w:rsidRDefault="004A3AA9" w:rsidP="00B52FE9">
            <w:pPr>
              <w:jc w:val="center"/>
              <w:rPr>
                <w:lang w:val="it-IT"/>
              </w:rPr>
            </w:pPr>
          </w:p>
        </w:tc>
        <w:tc>
          <w:tcPr>
            <w:tcW w:w="3157" w:type="dxa"/>
          </w:tcPr>
          <w:p w:rsidR="00494E3C" w:rsidRDefault="00494E3C" w:rsidP="00B52FE9">
            <w:pPr>
              <w:jc w:val="center"/>
              <w:rPr>
                <w:lang w:val="it-IT"/>
              </w:rPr>
            </w:pPr>
          </w:p>
          <w:p w:rsidR="00494E3C" w:rsidRPr="006E15C3" w:rsidRDefault="00494E3C" w:rsidP="00B52FE9">
            <w:pPr>
              <w:jc w:val="center"/>
              <w:rPr>
                <w:lang w:val="it-IT"/>
              </w:rPr>
            </w:pPr>
            <w:r>
              <w:rPr>
                <w:lang w:val="it-IT"/>
              </w:rPr>
              <w:t>ANR</w:t>
            </w:r>
            <w:r w:rsidR="0023796A">
              <w:rPr>
                <w:lang w:val="it-IT"/>
              </w:rPr>
              <w:t xml:space="preserve"> ENPRESA</w:t>
            </w:r>
          </w:p>
        </w:tc>
        <w:tc>
          <w:tcPr>
            <w:tcW w:w="4001" w:type="dxa"/>
          </w:tcPr>
          <w:p w:rsidR="00494E3C" w:rsidRDefault="00494E3C" w:rsidP="00B52FE9">
            <w:pPr>
              <w:jc w:val="center"/>
              <w:rPr>
                <w:lang w:val="it-IT"/>
              </w:rPr>
            </w:pPr>
          </w:p>
          <w:p w:rsidR="00494E3C" w:rsidRDefault="00494E3C" w:rsidP="00B52FE9">
            <w:pPr>
              <w:jc w:val="center"/>
              <w:rPr>
                <w:u w:val="single"/>
                <w:lang w:val="it-IT"/>
              </w:rPr>
            </w:pPr>
            <w:r w:rsidRPr="00F021B6">
              <w:rPr>
                <w:u w:val="single"/>
                <w:lang w:val="it-IT"/>
              </w:rPr>
              <w:t>Séance de conclusion</w:t>
            </w:r>
          </w:p>
          <w:p w:rsidR="003D0A34" w:rsidRPr="00F021B6" w:rsidRDefault="003D0A34" w:rsidP="00B52FE9">
            <w:pPr>
              <w:jc w:val="center"/>
              <w:rPr>
                <w:u w:val="single"/>
                <w:lang w:val="it-IT"/>
              </w:rPr>
            </w:pPr>
          </w:p>
        </w:tc>
      </w:tr>
    </w:tbl>
    <w:p w:rsidR="00494E3C" w:rsidRDefault="00494E3C"/>
    <w:sectPr w:rsidR="00494E3C" w:rsidSect="00C30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94E3C"/>
    <w:rsid w:val="000049BD"/>
    <w:rsid w:val="000219DD"/>
    <w:rsid w:val="00033DB5"/>
    <w:rsid w:val="00072AD9"/>
    <w:rsid w:val="000844E6"/>
    <w:rsid w:val="000D67C5"/>
    <w:rsid w:val="00111E22"/>
    <w:rsid w:val="00123D83"/>
    <w:rsid w:val="00135AD2"/>
    <w:rsid w:val="0023796A"/>
    <w:rsid w:val="002927AB"/>
    <w:rsid w:val="003D0A34"/>
    <w:rsid w:val="004000FA"/>
    <w:rsid w:val="00490885"/>
    <w:rsid w:val="00492D4E"/>
    <w:rsid w:val="00494E3C"/>
    <w:rsid w:val="004A3AA9"/>
    <w:rsid w:val="007878C3"/>
    <w:rsid w:val="008D5F96"/>
    <w:rsid w:val="00964716"/>
    <w:rsid w:val="00987CDB"/>
    <w:rsid w:val="00A7561D"/>
    <w:rsid w:val="00BA1D95"/>
    <w:rsid w:val="00C246C2"/>
    <w:rsid w:val="00C30B77"/>
    <w:rsid w:val="00C52011"/>
    <w:rsid w:val="00CE3B43"/>
    <w:rsid w:val="00D8548C"/>
    <w:rsid w:val="00DA1E3E"/>
    <w:rsid w:val="00DF23B0"/>
    <w:rsid w:val="00DF5D89"/>
    <w:rsid w:val="00E77C5D"/>
    <w:rsid w:val="00ED27B5"/>
    <w:rsid w:val="00ED6EAC"/>
    <w:rsid w:val="00F021B6"/>
    <w:rsid w:val="00F12F3C"/>
    <w:rsid w:val="00F16722"/>
    <w:rsid w:val="00FC1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3C"/>
    <w:rPr>
      <w:rFonts w:ascii="Palatino Linotype" w:hAnsi="Palatino Linotyp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4E3C"/>
    <w:pPr>
      <w:spacing w:after="0" w:line="240" w:lineRule="auto"/>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927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0268">
      <w:bodyDiv w:val="1"/>
      <w:marLeft w:val="0"/>
      <w:marRight w:val="0"/>
      <w:marTop w:val="0"/>
      <w:marBottom w:val="0"/>
      <w:divBdr>
        <w:top w:val="none" w:sz="0" w:space="0" w:color="auto"/>
        <w:left w:val="none" w:sz="0" w:space="0" w:color="auto"/>
        <w:bottom w:val="none" w:sz="0" w:space="0" w:color="auto"/>
        <w:right w:val="none" w:sz="0" w:space="0" w:color="auto"/>
      </w:divBdr>
      <w:divsChild>
        <w:div w:id="1852141480">
          <w:marLeft w:val="0"/>
          <w:marRight w:val="0"/>
          <w:marTop w:val="0"/>
          <w:marBottom w:val="0"/>
          <w:divBdr>
            <w:top w:val="none" w:sz="0" w:space="0" w:color="auto"/>
            <w:left w:val="none" w:sz="0" w:space="0" w:color="auto"/>
            <w:bottom w:val="none" w:sz="0" w:space="0" w:color="auto"/>
            <w:right w:val="none" w:sz="0" w:space="0" w:color="auto"/>
          </w:divBdr>
        </w:div>
      </w:divsChild>
    </w:div>
    <w:div w:id="895700771">
      <w:bodyDiv w:val="1"/>
      <w:marLeft w:val="0"/>
      <w:marRight w:val="0"/>
      <w:marTop w:val="0"/>
      <w:marBottom w:val="0"/>
      <w:divBdr>
        <w:top w:val="none" w:sz="0" w:space="0" w:color="auto"/>
        <w:left w:val="none" w:sz="0" w:space="0" w:color="auto"/>
        <w:bottom w:val="none" w:sz="0" w:space="0" w:color="auto"/>
        <w:right w:val="none" w:sz="0" w:space="0" w:color="auto"/>
      </w:divBdr>
    </w:div>
    <w:div w:id="1535456547">
      <w:bodyDiv w:val="1"/>
      <w:marLeft w:val="0"/>
      <w:marRight w:val="0"/>
      <w:marTop w:val="0"/>
      <w:marBottom w:val="0"/>
      <w:divBdr>
        <w:top w:val="none" w:sz="0" w:space="0" w:color="auto"/>
        <w:left w:val="none" w:sz="0" w:space="0" w:color="auto"/>
        <w:bottom w:val="none" w:sz="0" w:space="0" w:color="auto"/>
        <w:right w:val="none" w:sz="0" w:space="0" w:color="auto"/>
      </w:divBdr>
    </w:div>
    <w:div w:id="20179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INGRID</cp:lastModifiedBy>
  <cp:revision>27</cp:revision>
  <dcterms:created xsi:type="dcterms:W3CDTF">2013-08-20T07:35:00Z</dcterms:created>
  <dcterms:modified xsi:type="dcterms:W3CDTF">2013-10-16T08:49:00Z</dcterms:modified>
</cp:coreProperties>
</file>